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82" w:rsidRPr="00A06482" w:rsidRDefault="00A06482" w:rsidP="00A06482">
      <w:pPr>
        <w:spacing w:after="0" w:line="240" w:lineRule="auto"/>
        <w:rPr>
          <w:rFonts w:ascii="Arial" w:hAnsi="Arial" w:cs="Arial"/>
          <w:sz w:val="60"/>
          <w:szCs w:val="60"/>
        </w:rPr>
      </w:pPr>
      <w:r w:rsidRPr="00A06482">
        <w:rPr>
          <w:rFonts w:ascii="Arial" w:hAnsi="Arial" w:cs="Arial"/>
          <w:sz w:val="60"/>
          <w:szCs w:val="60"/>
        </w:rPr>
        <w:t>36</w:t>
      </w:r>
    </w:p>
    <w:p w:rsidR="00B833E2" w:rsidRPr="00A06482" w:rsidRDefault="00B833E2" w:rsidP="00A064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06482">
        <w:rPr>
          <w:rFonts w:ascii="Arial" w:hAnsi="Arial" w:cs="Arial"/>
          <w:b/>
          <w:sz w:val="24"/>
          <w:szCs w:val="24"/>
        </w:rPr>
        <w:t>FIEBRE HEMORRAGICA VIRAL POR VIRUS DENGUE</w:t>
      </w:r>
    </w:p>
    <w:p w:rsidR="00C047DC" w:rsidRDefault="00C047DC" w:rsidP="00A06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33E2" w:rsidRPr="00A06482" w:rsidRDefault="00950D8C" w:rsidP="00A0648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Fuenzalida</w:t>
      </w:r>
      <w:proofErr w:type="spellEnd"/>
      <w:r>
        <w:rPr>
          <w:rFonts w:ascii="Arial" w:hAnsi="Arial" w:cs="Arial"/>
          <w:sz w:val="24"/>
          <w:szCs w:val="24"/>
        </w:rPr>
        <w:t xml:space="preserve"> J y Alemán L.</w:t>
      </w:r>
    </w:p>
    <w:p w:rsidR="00B833E2" w:rsidRPr="00A06482" w:rsidRDefault="00B833E2" w:rsidP="00A064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6482">
        <w:rPr>
          <w:rFonts w:ascii="Arial" w:hAnsi="Arial" w:cs="Arial"/>
          <w:sz w:val="24"/>
          <w:szCs w:val="24"/>
        </w:rPr>
        <w:t>Residente</w:t>
      </w:r>
      <w:bookmarkStart w:id="0" w:name="_GoBack"/>
      <w:bookmarkEnd w:id="0"/>
      <w:r w:rsidRPr="00A06482">
        <w:rPr>
          <w:rFonts w:ascii="Arial" w:hAnsi="Arial" w:cs="Arial"/>
          <w:sz w:val="24"/>
          <w:szCs w:val="24"/>
        </w:rPr>
        <w:t xml:space="preserve"> de Medicina Interna, Universidad de Chile, Campus Occidente.</w:t>
      </w:r>
    </w:p>
    <w:p w:rsidR="00B833E2" w:rsidRPr="00A06482" w:rsidRDefault="00B833E2" w:rsidP="00A06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33E2" w:rsidRPr="00A06482" w:rsidRDefault="00B833E2" w:rsidP="00A064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06482">
        <w:rPr>
          <w:rFonts w:ascii="Arial" w:hAnsi="Arial" w:cs="Arial"/>
          <w:b/>
          <w:sz w:val="24"/>
          <w:szCs w:val="24"/>
        </w:rPr>
        <w:t>Introducción</w:t>
      </w:r>
    </w:p>
    <w:p w:rsidR="00255422" w:rsidRPr="00A06482" w:rsidRDefault="00754011" w:rsidP="00A064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6482">
        <w:rPr>
          <w:rFonts w:ascii="Arial" w:hAnsi="Arial" w:cs="Arial"/>
          <w:sz w:val="24"/>
          <w:szCs w:val="24"/>
        </w:rPr>
        <w:t xml:space="preserve">La infección por virus dengue es transmitida por mosquitos de la familia Aedes </w:t>
      </w:r>
      <w:r w:rsidR="005073B4" w:rsidRPr="00A06482">
        <w:rPr>
          <w:rFonts w:ascii="Arial" w:hAnsi="Arial" w:cs="Arial"/>
          <w:sz w:val="24"/>
          <w:szCs w:val="24"/>
        </w:rPr>
        <w:t>con una amplia distribución mundial en regiones tropicales y subtropicales, principalmente en Asia</w:t>
      </w:r>
      <w:r w:rsidR="00A444A1" w:rsidRPr="00A06482">
        <w:rPr>
          <w:rFonts w:ascii="Arial" w:hAnsi="Arial" w:cs="Arial"/>
          <w:sz w:val="24"/>
          <w:szCs w:val="24"/>
        </w:rPr>
        <w:t>. No se presenta en Chile continental. Frecuentemente es asintomática o como exantema febril, pudiendo evolucionar a cuadros severos asociados a hemorragia.</w:t>
      </w:r>
    </w:p>
    <w:p w:rsidR="00A444A1" w:rsidRPr="00A06482" w:rsidRDefault="00A444A1" w:rsidP="00A064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5422" w:rsidRPr="00A06482" w:rsidRDefault="00255422" w:rsidP="00A064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06482">
        <w:rPr>
          <w:rFonts w:ascii="Arial" w:hAnsi="Arial" w:cs="Arial"/>
          <w:b/>
          <w:sz w:val="24"/>
          <w:szCs w:val="24"/>
        </w:rPr>
        <w:t>Caso Clínico</w:t>
      </w:r>
    </w:p>
    <w:p w:rsidR="007B2807" w:rsidRPr="00A06482" w:rsidRDefault="00255422" w:rsidP="00A064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6482">
        <w:rPr>
          <w:rFonts w:ascii="Arial" w:hAnsi="Arial" w:cs="Arial"/>
          <w:sz w:val="24"/>
          <w:szCs w:val="24"/>
        </w:rPr>
        <w:t xml:space="preserve">Paciente de 29 años, sin antecedentes mórbidos previos, </w:t>
      </w:r>
      <w:r w:rsidR="009054AA" w:rsidRPr="00A06482">
        <w:rPr>
          <w:rFonts w:ascii="Arial" w:hAnsi="Arial" w:cs="Arial"/>
          <w:sz w:val="24"/>
          <w:szCs w:val="24"/>
        </w:rPr>
        <w:t>al cuarto día de estadía en India present</w:t>
      </w:r>
      <w:r w:rsidR="007A4AEA" w:rsidRPr="00A06482">
        <w:rPr>
          <w:rFonts w:ascii="Arial" w:hAnsi="Arial" w:cs="Arial"/>
          <w:sz w:val="24"/>
          <w:szCs w:val="24"/>
        </w:rPr>
        <w:t>ó</w:t>
      </w:r>
      <w:r w:rsidR="009054AA" w:rsidRPr="00A06482">
        <w:rPr>
          <w:rFonts w:ascii="Arial" w:hAnsi="Arial" w:cs="Arial"/>
          <w:sz w:val="24"/>
          <w:szCs w:val="24"/>
        </w:rPr>
        <w:t xml:space="preserve"> cuadro febril, asociado a petequias generalizadas, gingivorragia</w:t>
      </w:r>
      <w:r w:rsidR="007A4AEA" w:rsidRPr="00A06482">
        <w:rPr>
          <w:rFonts w:ascii="Arial" w:hAnsi="Arial" w:cs="Arial"/>
          <w:sz w:val="24"/>
          <w:szCs w:val="24"/>
        </w:rPr>
        <w:t>,</w:t>
      </w:r>
      <w:r w:rsidR="009054AA" w:rsidRPr="00A06482">
        <w:rPr>
          <w:rFonts w:ascii="Arial" w:hAnsi="Arial" w:cs="Arial"/>
          <w:sz w:val="24"/>
          <w:szCs w:val="24"/>
        </w:rPr>
        <w:t xml:space="preserve"> epistaxis, hematuria y melena. </w:t>
      </w:r>
      <w:r w:rsidR="007A4AEA" w:rsidRPr="00A06482">
        <w:rPr>
          <w:rFonts w:ascii="Arial" w:hAnsi="Arial" w:cs="Arial"/>
          <w:sz w:val="24"/>
          <w:szCs w:val="24"/>
        </w:rPr>
        <w:t>Fue hospitalizada</w:t>
      </w:r>
      <w:r w:rsidR="009054AA" w:rsidRPr="00A06482">
        <w:rPr>
          <w:rFonts w:ascii="Arial" w:hAnsi="Arial" w:cs="Arial"/>
          <w:sz w:val="24"/>
          <w:szCs w:val="24"/>
        </w:rPr>
        <w:t xml:space="preserve">, </w:t>
      </w:r>
      <w:r w:rsidR="007A4AEA" w:rsidRPr="00A06482">
        <w:rPr>
          <w:rFonts w:ascii="Arial" w:hAnsi="Arial" w:cs="Arial"/>
          <w:sz w:val="24"/>
          <w:szCs w:val="24"/>
        </w:rPr>
        <w:t>constatándose</w:t>
      </w:r>
      <w:r w:rsidR="009054AA" w:rsidRPr="00A06482">
        <w:rPr>
          <w:rFonts w:ascii="Arial" w:hAnsi="Arial" w:cs="Arial"/>
          <w:sz w:val="24"/>
          <w:szCs w:val="24"/>
        </w:rPr>
        <w:t xml:space="preserve"> trombocitopenia severa, anemia </w:t>
      </w:r>
      <w:r w:rsidR="00C627CB" w:rsidRPr="00A06482">
        <w:rPr>
          <w:rFonts w:ascii="Arial" w:hAnsi="Arial" w:cs="Arial"/>
          <w:sz w:val="24"/>
          <w:szCs w:val="24"/>
        </w:rPr>
        <w:t>leve</w:t>
      </w:r>
      <w:r w:rsidR="009054AA" w:rsidRPr="00A06482">
        <w:rPr>
          <w:rFonts w:ascii="Arial" w:hAnsi="Arial" w:cs="Arial"/>
          <w:sz w:val="24"/>
          <w:szCs w:val="24"/>
        </w:rPr>
        <w:t xml:space="preserve"> e hipotensión, sin compromiso neurológico, hepático ni renal. </w:t>
      </w:r>
      <w:r w:rsidR="00C627CB" w:rsidRPr="00A06482">
        <w:rPr>
          <w:rFonts w:ascii="Arial" w:hAnsi="Arial" w:cs="Arial"/>
          <w:sz w:val="24"/>
          <w:szCs w:val="24"/>
        </w:rPr>
        <w:t>En primera instancia, se manejó con volumen parenteral y transfusiones de plaquetas. Se descartó infección por VIH, virus hepatitis</w:t>
      </w:r>
      <w:r w:rsidR="007B2807" w:rsidRPr="00A06482">
        <w:rPr>
          <w:rFonts w:ascii="Arial" w:hAnsi="Arial" w:cs="Arial"/>
          <w:sz w:val="24"/>
          <w:szCs w:val="24"/>
        </w:rPr>
        <w:t xml:space="preserve"> y</w:t>
      </w:r>
      <w:r w:rsidR="00C627CB" w:rsidRPr="00A064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27CB" w:rsidRPr="00A06482">
        <w:rPr>
          <w:rFonts w:ascii="Arial" w:hAnsi="Arial" w:cs="Arial"/>
          <w:sz w:val="24"/>
          <w:szCs w:val="24"/>
        </w:rPr>
        <w:t>plasm</w:t>
      </w:r>
      <w:r w:rsidR="00022013" w:rsidRPr="00A06482">
        <w:rPr>
          <w:rFonts w:ascii="Arial" w:hAnsi="Arial" w:cs="Arial"/>
          <w:sz w:val="24"/>
          <w:szCs w:val="24"/>
        </w:rPr>
        <w:t>o</w:t>
      </w:r>
      <w:r w:rsidR="00C627CB" w:rsidRPr="00A06482">
        <w:rPr>
          <w:rFonts w:ascii="Arial" w:hAnsi="Arial" w:cs="Arial"/>
          <w:sz w:val="24"/>
          <w:szCs w:val="24"/>
        </w:rPr>
        <w:t>dium</w:t>
      </w:r>
      <w:proofErr w:type="spellEnd"/>
      <w:r w:rsidR="007B2807" w:rsidRPr="00A06482">
        <w:rPr>
          <w:rFonts w:ascii="Arial" w:hAnsi="Arial" w:cs="Arial"/>
          <w:sz w:val="24"/>
          <w:szCs w:val="24"/>
        </w:rPr>
        <w:t>.</w:t>
      </w:r>
      <w:r w:rsidR="00F85011" w:rsidRPr="00A06482">
        <w:rPr>
          <w:rFonts w:ascii="Arial" w:hAnsi="Arial" w:cs="Arial"/>
          <w:sz w:val="24"/>
          <w:szCs w:val="24"/>
        </w:rPr>
        <w:t xml:space="preserve"> Test de </w:t>
      </w:r>
      <w:proofErr w:type="spellStart"/>
      <w:r w:rsidR="00A06482">
        <w:rPr>
          <w:rFonts w:ascii="Arial" w:hAnsi="Arial" w:cs="Arial"/>
          <w:sz w:val="24"/>
          <w:szCs w:val="24"/>
        </w:rPr>
        <w:t>C</w:t>
      </w:r>
      <w:r w:rsidR="00F85011" w:rsidRPr="00A06482">
        <w:rPr>
          <w:rFonts w:ascii="Arial" w:hAnsi="Arial" w:cs="Arial"/>
          <w:sz w:val="24"/>
          <w:szCs w:val="24"/>
        </w:rPr>
        <w:t>oombs</w:t>
      </w:r>
      <w:proofErr w:type="spellEnd"/>
      <w:r w:rsidR="00F85011" w:rsidRPr="00A06482">
        <w:rPr>
          <w:rFonts w:ascii="Arial" w:hAnsi="Arial" w:cs="Arial"/>
          <w:sz w:val="24"/>
          <w:szCs w:val="24"/>
        </w:rPr>
        <w:t xml:space="preserve"> (-), </w:t>
      </w:r>
      <w:proofErr w:type="spellStart"/>
      <w:r w:rsidR="007B2807" w:rsidRPr="00A06482">
        <w:rPr>
          <w:rFonts w:ascii="Arial" w:hAnsi="Arial" w:cs="Arial"/>
          <w:sz w:val="24"/>
          <w:szCs w:val="24"/>
        </w:rPr>
        <w:t>IgM</w:t>
      </w:r>
      <w:proofErr w:type="spellEnd"/>
      <w:r w:rsidR="007B2807" w:rsidRPr="00A06482">
        <w:rPr>
          <w:rFonts w:ascii="Arial" w:hAnsi="Arial" w:cs="Arial"/>
          <w:sz w:val="24"/>
          <w:szCs w:val="24"/>
        </w:rPr>
        <w:t xml:space="preserve"> para dengue (-), ELISA para NS1 (-). Se sospech</w:t>
      </w:r>
      <w:r w:rsidR="00022013" w:rsidRPr="00A06482">
        <w:rPr>
          <w:rFonts w:ascii="Arial" w:hAnsi="Arial" w:cs="Arial"/>
          <w:sz w:val="24"/>
          <w:szCs w:val="24"/>
        </w:rPr>
        <w:t>ó</w:t>
      </w:r>
      <w:r w:rsidR="007B2807" w:rsidRPr="00A06482">
        <w:rPr>
          <w:rFonts w:ascii="Arial" w:hAnsi="Arial" w:cs="Arial"/>
          <w:sz w:val="24"/>
          <w:szCs w:val="24"/>
        </w:rPr>
        <w:t xml:space="preserve"> PTI, agregando al manejo previo glucocorticoides e inmunoglobulina endovenosa. Evolucionó de manera favorable, con un periodo de convalecencia de tres semanas. Regresó a Chile</w:t>
      </w:r>
      <w:r w:rsidR="00F85011" w:rsidRPr="00A06482">
        <w:rPr>
          <w:rFonts w:ascii="Arial" w:hAnsi="Arial" w:cs="Arial"/>
          <w:sz w:val="24"/>
          <w:szCs w:val="24"/>
        </w:rPr>
        <w:t xml:space="preserve"> asintomática</w:t>
      </w:r>
      <w:r w:rsidR="007B2807" w:rsidRPr="00A06482">
        <w:rPr>
          <w:rFonts w:ascii="Arial" w:hAnsi="Arial" w:cs="Arial"/>
          <w:sz w:val="24"/>
          <w:szCs w:val="24"/>
        </w:rPr>
        <w:t xml:space="preserve">, donde en control en policlínico de medicina se </w:t>
      </w:r>
      <w:r w:rsidR="00F85011" w:rsidRPr="00A06482">
        <w:rPr>
          <w:rFonts w:ascii="Arial" w:hAnsi="Arial" w:cs="Arial"/>
          <w:sz w:val="24"/>
          <w:szCs w:val="24"/>
        </w:rPr>
        <w:t>evidencia hemograma en rangos de normalidad. Se s</w:t>
      </w:r>
      <w:r w:rsidR="007B2807" w:rsidRPr="00A06482">
        <w:rPr>
          <w:rFonts w:ascii="Arial" w:hAnsi="Arial" w:cs="Arial"/>
          <w:sz w:val="24"/>
          <w:szCs w:val="24"/>
        </w:rPr>
        <w:t>olicitó IgG para Dengue, resultando positivo.</w:t>
      </w:r>
    </w:p>
    <w:p w:rsidR="007B2807" w:rsidRPr="00A06482" w:rsidRDefault="007B2807" w:rsidP="00A06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2807" w:rsidRPr="00A06482" w:rsidRDefault="007B2807" w:rsidP="00A064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06482">
        <w:rPr>
          <w:rFonts w:ascii="Arial" w:hAnsi="Arial" w:cs="Arial"/>
          <w:b/>
          <w:sz w:val="24"/>
          <w:szCs w:val="24"/>
        </w:rPr>
        <w:t>Conclusión</w:t>
      </w:r>
    </w:p>
    <w:p w:rsidR="00374474" w:rsidRPr="00A06482" w:rsidRDefault="00A444A1" w:rsidP="00A064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6482">
        <w:rPr>
          <w:rFonts w:ascii="Arial" w:hAnsi="Arial" w:cs="Arial"/>
          <w:sz w:val="24"/>
          <w:szCs w:val="24"/>
        </w:rPr>
        <w:t>La</w:t>
      </w:r>
      <w:r w:rsidR="007A4AEA" w:rsidRPr="00A06482">
        <w:rPr>
          <w:rFonts w:ascii="Arial" w:hAnsi="Arial" w:cs="Arial"/>
          <w:sz w:val="24"/>
          <w:szCs w:val="24"/>
        </w:rPr>
        <w:t xml:space="preserve"> fiebre hemorrágica está descrit</w:t>
      </w:r>
      <w:r w:rsidRPr="00A06482">
        <w:rPr>
          <w:rFonts w:ascii="Arial" w:hAnsi="Arial" w:cs="Arial"/>
          <w:sz w:val="24"/>
          <w:szCs w:val="24"/>
        </w:rPr>
        <w:t>a</w:t>
      </w:r>
      <w:r w:rsidR="007A4AEA" w:rsidRPr="00A06482">
        <w:rPr>
          <w:rFonts w:ascii="Arial" w:hAnsi="Arial" w:cs="Arial"/>
          <w:sz w:val="24"/>
          <w:szCs w:val="24"/>
        </w:rPr>
        <w:t xml:space="preserve"> como una </w:t>
      </w:r>
      <w:r w:rsidRPr="00A06482">
        <w:rPr>
          <w:rFonts w:ascii="Arial" w:hAnsi="Arial" w:cs="Arial"/>
          <w:sz w:val="24"/>
          <w:szCs w:val="24"/>
        </w:rPr>
        <w:t>complicación infrecuente de la infección por dengue</w:t>
      </w:r>
      <w:r w:rsidR="007A4AEA" w:rsidRPr="00A06482">
        <w:rPr>
          <w:rFonts w:ascii="Arial" w:hAnsi="Arial" w:cs="Arial"/>
          <w:sz w:val="24"/>
          <w:szCs w:val="24"/>
        </w:rPr>
        <w:t xml:space="preserve">, </w:t>
      </w:r>
      <w:r w:rsidRPr="00A06482">
        <w:rPr>
          <w:rFonts w:ascii="Arial" w:hAnsi="Arial" w:cs="Arial"/>
          <w:sz w:val="24"/>
          <w:szCs w:val="24"/>
        </w:rPr>
        <w:t>descrita solo en</w:t>
      </w:r>
      <w:r w:rsidR="007A4AEA" w:rsidRPr="00A06482">
        <w:rPr>
          <w:rFonts w:ascii="Arial" w:hAnsi="Arial" w:cs="Arial"/>
          <w:sz w:val="24"/>
          <w:szCs w:val="24"/>
        </w:rPr>
        <w:t xml:space="preserve"> 1% de los pacientes sintomáticos.</w:t>
      </w:r>
      <w:r w:rsidRPr="00A06482">
        <w:rPr>
          <w:rFonts w:ascii="Arial" w:hAnsi="Arial" w:cs="Arial"/>
          <w:sz w:val="24"/>
          <w:szCs w:val="24"/>
        </w:rPr>
        <w:t xml:space="preserve"> </w:t>
      </w:r>
      <w:r w:rsidR="00374474" w:rsidRPr="00A06482">
        <w:rPr>
          <w:rFonts w:ascii="Arial" w:hAnsi="Arial" w:cs="Arial"/>
          <w:sz w:val="24"/>
          <w:szCs w:val="24"/>
        </w:rPr>
        <w:t xml:space="preserve">Si bien la mortalidad con atención médica oportuna es menor al 1%, los cuadros severos se asocian a seroconversión previa a alguno de los 4 serotipos del virus, siendo relevante la confirmación diagnóstica para tomar medidas de prevención contra futuras exposiciones al virus.  </w:t>
      </w:r>
    </w:p>
    <w:p w:rsidR="005F5807" w:rsidRPr="00A06482" w:rsidRDefault="005F5807" w:rsidP="00A064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4474" w:rsidRPr="00A06482" w:rsidRDefault="00374474" w:rsidP="00A064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74474" w:rsidRPr="00A06482" w:rsidSect="000B0D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33E2"/>
    <w:rsid w:val="00022013"/>
    <w:rsid w:val="000B0D2E"/>
    <w:rsid w:val="00255422"/>
    <w:rsid w:val="00374474"/>
    <w:rsid w:val="004D3A85"/>
    <w:rsid w:val="005073B4"/>
    <w:rsid w:val="005F5807"/>
    <w:rsid w:val="00754011"/>
    <w:rsid w:val="007A4AEA"/>
    <w:rsid w:val="007B2807"/>
    <w:rsid w:val="00887231"/>
    <w:rsid w:val="009054AA"/>
    <w:rsid w:val="00950D8C"/>
    <w:rsid w:val="00A06482"/>
    <w:rsid w:val="00A37601"/>
    <w:rsid w:val="00A444A1"/>
    <w:rsid w:val="00B479EC"/>
    <w:rsid w:val="00B833E2"/>
    <w:rsid w:val="00C047DC"/>
    <w:rsid w:val="00C627CB"/>
    <w:rsid w:val="00F8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D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Fuenzalida Vera</dc:creator>
  <cp:keywords/>
  <dc:description/>
  <cp:lastModifiedBy>Usuario</cp:lastModifiedBy>
  <cp:revision>6</cp:revision>
  <dcterms:created xsi:type="dcterms:W3CDTF">2019-04-30T21:52:00Z</dcterms:created>
  <dcterms:modified xsi:type="dcterms:W3CDTF">2019-05-09T12:05:00Z</dcterms:modified>
</cp:coreProperties>
</file>