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8" w:rsidRPr="002D6428" w:rsidRDefault="002D6428" w:rsidP="002D6428">
      <w:pPr>
        <w:spacing w:after="0"/>
        <w:rPr>
          <w:rFonts w:ascii="Arial" w:hAnsi="Arial" w:cs="Arial"/>
          <w:sz w:val="60"/>
          <w:szCs w:val="60"/>
          <w:lang w:val="es-CL"/>
        </w:rPr>
      </w:pPr>
      <w:r w:rsidRPr="002D6428">
        <w:rPr>
          <w:rFonts w:ascii="Arial" w:hAnsi="Arial" w:cs="Arial"/>
          <w:sz w:val="60"/>
          <w:szCs w:val="60"/>
          <w:lang w:val="es-CL"/>
        </w:rPr>
        <w:t>24</w:t>
      </w:r>
    </w:p>
    <w:p w:rsidR="005C4056" w:rsidRPr="002D6428" w:rsidRDefault="007A145F" w:rsidP="002D6428">
      <w:pPr>
        <w:spacing w:after="0" w:line="240" w:lineRule="auto"/>
        <w:rPr>
          <w:rFonts w:ascii="Arial" w:hAnsi="Arial" w:cs="Arial"/>
          <w:b/>
          <w:sz w:val="24"/>
          <w:szCs w:val="24"/>
          <w:lang w:val="es-CL"/>
        </w:rPr>
      </w:pPr>
      <w:r w:rsidRPr="002D6428">
        <w:rPr>
          <w:rFonts w:ascii="Arial" w:hAnsi="Arial" w:cs="Arial"/>
          <w:b/>
          <w:sz w:val="24"/>
          <w:szCs w:val="24"/>
          <w:lang w:val="es-CL"/>
        </w:rPr>
        <w:t>TROMBOSIS VALVULAR AÓRTICA: REVISIÓN DE TEMA A PROPÓSITO DE UN CASO</w:t>
      </w:r>
      <w:r w:rsidR="004637C5" w:rsidRPr="002D6428">
        <w:rPr>
          <w:rFonts w:ascii="Arial" w:hAnsi="Arial" w:cs="Arial"/>
          <w:b/>
          <w:sz w:val="24"/>
          <w:szCs w:val="24"/>
          <w:lang w:val="es-CL"/>
        </w:rPr>
        <w:t>.</w:t>
      </w:r>
    </w:p>
    <w:p w:rsidR="007A145F" w:rsidRPr="002D6428" w:rsidRDefault="006D11A3" w:rsidP="002D6428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proofErr w:type="spellStart"/>
      <w:r w:rsidRPr="002D6428">
        <w:rPr>
          <w:rFonts w:ascii="Arial" w:hAnsi="Arial" w:cs="Arial"/>
          <w:sz w:val="24"/>
          <w:szCs w:val="24"/>
          <w:lang w:val="es-CL"/>
        </w:rPr>
        <w:t>Eitler</w:t>
      </w:r>
      <w:proofErr w:type="spellEnd"/>
      <w:r w:rsidRPr="002D6428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2D6428">
        <w:rPr>
          <w:rFonts w:ascii="Arial" w:hAnsi="Arial" w:cs="Arial"/>
          <w:sz w:val="24"/>
          <w:szCs w:val="24"/>
          <w:lang w:val="es-CL"/>
        </w:rPr>
        <w:t>Heck</w:t>
      </w:r>
      <w:proofErr w:type="spellEnd"/>
      <w:r w:rsidRPr="002D6428">
        <w:rPr>
          <w:rFonts w:ascii="Arial" w:hAnsi="Arial" w:cs="Arial"/>
          <w:sz w:val="24"/>
          <w:szCs w:val="24"/>
          <w:lang w:val="es-CL"/>
        </w:rPr>
        <w:t xml:space="preserve"> A, Ferná</w:t>
      </w:r>
      <w:bookmarkStart w:id="0" w:name="_GoBack"/>
      <w:bookmarkEnd w:id="0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ndez Pereda I, Solar </w:t>
      </w:r>
      <w:proofErr w:type="spellStart"/>
      <w:r w:rsidR="007A145F" w:rsidRPr="002D6428">
        <w:rPr>
          <w:rFonts w:ascii="Arial" w:hAnsi="Arial" w:cs="Arial"/>
          <w:sz w:val="24"/>
          <w:szCs w:val="24"/>
          <w:lang w:val="es-CL"/>
        </w:rPr>
        <w:t>Sigala</w:t>
      </w:r>
      <w:proofErr w:type="spellEnd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 X, De </w:t>
      </w:r>
      <w:proofErr w:type="spellStart"/>
      <w:r w:rsidR="007A145F" w:rsidRPr="002D6428">
        <w:rPr>
          <w:rFonts w:ascii="Arial" w:hAnsi="Arial" w:cs="Arial"/>
          <w:sz w:val="24"/>
          <w:szCs w:val="24"/>
          <w:lang w:val="es-CL"/>
        </w:rPr>
        <w:t>Baerema</w:t>
      </w:r>
      <w:r w:rsidR="002D6428">
        <w:rPr>
          <w:rFonts w:ascii="Arial" w:hAnsi="Arial" w:cs="Arial"/>
          <w:sz w:val="24"/>
          <w:szCs w:val="24"/>
          <w:lang w:val="es-CL"/>
        </w:rPr>
        <w:t>e</w:t>
      </w:r>
      <w:r w:rsidR="007A145F" w:rsidRPr="002D6428">
        <w:rPr>
          <w:rFonts w:ascii="Arial" w:hAnsi="Arial" w:cs="Arial"/>
          <w:sz w:val="24"/>
          <w:szCs w:val="24"/>
          <w:lang w:val="es-CL"/>
        </w:rPr>
        <w:t>cker</w:t>
      </w:r>
      <w:proofErr w:type="spellEnd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 D, Cerda </w:t>
      </w:r>
      <w:proofErr w:type="spellStart"/>
      <w:r w:rsidR="007A145F" w:rsidRPr="002D6428">
        <w:rPr>
          <w:rFonts w:ascii="Arial" w:hAnsi="Arial" w:cs="Arial"/>
          <w:sz w:val="24"/>
          <w:szCs w:val="24"/>
          <w:lang w:val="es-CL"/>
        </w:rPr>
        <w:t>Bargetto</w:t>
      </w:r>
      <w:proofErr w:type="spellEnd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 J, Durando Tirado M, </w:t>
      </w:r>
      <w:proofErr w:type="spellStart"/>
      <w:r w:rsidR="007A145F" w:rsidRPr="002D6428">
        <w:rPr>
          <w:rFonts w:ascii="Arial" w:hAnsi="Arial" w:cs="Arial"/>
          <w:sz w:val="24"/>
          <w:szCs w:val="24"/>
          <w:lang w:val="es-CL"/>
        </w:rPr>
        <w:t>Sanhueza</w:t>
      </w:r>
      <w:proofErr w:type="spellEnd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="007A145F" w:rsidRPr="002D6428">
        <w:rPr>
          <w:rFonts w:ascii="Arial" w:hAnsi="Arial" w:cs="Arial"/>
          <w:sz w:val="24"/>
          <w:szCs w:val="24"/>
          <w:lang w:val="es-CL"/>
        </w:rPr>
        <w:t>Cardemil</w:t>
      </w:r>
      <w:proofErr w:type="spellEnd"/>
      <w:r w:rsidR="007A145F" w:rsidRPr="002D6428">
        <w:rPr>
          <w:rFonts w:ascii="Arial" w:hAnsi="Arial" w:cs="Arial"/>
          <w:sz w:val="24"/>
          <w:szCs w:val="24"/>
          <w:lang w:val="es-CL"/>
        </w:rPr>
        <w:t xml:space="preserve"> P. </w:t>
      </w:r>
    </w:p>
    <w:p w:rsidR="007A145F" w:rsidRPr="002D6428" w:rsidRDefault="007A145F" w:rsidP="002D6428">
      <w:pPr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2D6428">
        <w:rPr>
          <w:rFonts w:ascii="Arial" w:hAnsi="Arial" w:cs="Arial"/>
          <w:sz w:val="24"/>
          <w:szCs w:val="24"/>
          <w:lang w:val="es-CL"/>
        </w:rPr>
        <w:t xml:space="preserve">Unidad Coronaria, HSJD. Santiago. </w:t>
      </w:r>
    </w:p>
    <w:p w:rsidR="002D6428" w:rsidRDefault="002D6428" w:rsidP="002D6428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  <w:shd w:val="clear" w:color="auto" w:fill="FFFFFF"/>
        </w:rPr>
      </w:pPr>
    </w:p>
    <w:p w:rsidR="007A145F" w:rsidRPr="002D6428" w:rsidRDefault="007A145F" w:rsidP="002D6428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  <w:shd w:val="clear" w:color="auto" w:fill="FFFFFF"/>
        </w:rPr>
      </w:pP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La trombosis protésica obstructiva</w:t>
      </w:r>
      <w:r w:rsidR="00106C88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(TPO)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es una complicación temida y de mal pronóstico aun con un tratamiento rápido. Sus diversas formas de presentación hacen necesario un alto nivel de sospecha clínica y la rápida utilización de métodos diagnósticos en vistas a un tratamiento correcto y mejorar la evolución. Frente a un paciente con prótesis valvular mecánica y síntomas cardiovasculares, es necesario realizar rápidamente estudios diag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nósticos, como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ecocardiografía, que permiten un diagnóstico correcto en un alto porcentaje de casos. Realizado el diagnóstico, la elección del método terapéutico dependerá de los síntomas del paciente y sus comorbilidades, reservándose la cirugía cardíaca para aquellos pacientes</w:t>
      </w:r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más sintomáticos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y los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fibrinolíticos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pa</w:t>
      </w:r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ra aquellos con pocos síntomas y trombos pequeños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.</w:t>
      </w:r>
      <w:r w:rsidR="00106C88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La TPO es una complicación poco frecuente directamente relacionada con el tipo de válvula, el riesgo anual es variable, 0,1% en posición aórtica, hasta cifras de 1,3% en posición mitral. Si la anticoagulación no es correcta el riesgo aumenta hasta 13%-20% anualmente</w:t>
      </w:r>
      <w:r w:rsidR="00106C88" w:rsidRPr="002D6428"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  <w:vertAlign w:val="superscript"/>
        </w:rPr>
        <w:t>.</w:t>
      </w:r>
      <w:r w:rsidR="00106C88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El riesgo es mayor durante el primer año del implante. </w:t>
      </w:r>
    </w:p>
    <w:p w:rsidR="002D6428" w:rsidRDefault="002D6428" w:rsidP="002D6428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  <w:shd w:val="clear" w:color="auto" w:fill="FFFFFF"/>
        </w:rPr>
      </w:pPr>
    </w:p>
    <w:p w:rsidR="00EB4E4C" w:rsidRPr="002D6428" w:rsidRDefault="001310A6" w:rsidP="002D6428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  <w:shd w:val="clear" w:color="auto" w:fill="FFFFFF"/>
        </w:rPr>
      </w:pPr>
      <w:r w:rsidRPr="002D6428">
        <w:rPr>
          <w:rFonts w:ascii="Arial" w:hAnsi="Arial" w:cs="Arial"/>
          <w:b/>
          <w:color w:val="1F1A17"/>
          <w:sz w:val="24"/>
          <w:szCs w:val="24"/>
          <w:shd w:val="clear" w:color="auto" w:fill="FFFFFF"/>
        </w:rPr>
        <w:t>Materiales y Métodos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: </w:t>
      </w:r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Paciente 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masculino de 49años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antec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de Reemplazo Valvular Aó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rtico </w:t>
      </w:r>
      <w:proofErr w:type="spellStart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St</w:t>
      </w:r>
      <w:proofErr w:type="spellEnd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Jude</w:t>
      </w:r>
      <w:proofErr w:type="spellEnd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N°25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(por Estenosis Aó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rtica Severa sintomática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en vá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lvula Bicúspide), Insuficiencia Cardiaca Valvular con FE: 15%, HTA </w:t>
      </w:r>
      <w:proofErr w:type="spellStart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cr</w:t>
      </w:r>
      <w:proofErr w:type="spellEnd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 Hipotiroidismo</w:t>
      </w:r>
      <w:r w:rsidR="00165093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en tratamiento con </w:t>
      </w:r>
      <w:proofErr w:type="spellStart"/>
      <w:r w:rsidR="00165093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Acenocumarol</w:t>
      </w:r>
      <w:proofErr w:type="spellEnd"/>
      <w:r w:rsidR="00165093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, según registros con adecuado rango INR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. Se Hospitaliza en la Unidad Coronaria por cuadro de 3 meses de evolución con deterioro de su CF basal I hasta el reposo. Se realiza estudio con </w:t>
      </w:r>
      <w:proofErr w:type="spellStart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AngioTC</w:t>
      </w:r>
      <w:proofErr w:type="spellEnd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de tórax descartando TEP, pero mostrando signos de IC descompensada, </w:t>
      </w:r>
      <w:proofErr w:type="spellStart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troponinas</w:t>
      </w:r>
      <w:proofErr w:type="spellEnd"/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negativas,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y CAG: sin lesiones significativas de arterias coronarias,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se realiza ecocardiograma TT que muestra prótesis mecánic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en posición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aó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rtica con estenosis severa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(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Gmax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: 49.5mmHg/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Vmax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: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3.5m/s/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Gmed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: 30mmHg)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FE: 10%, se completa con Eco TE mostrando abundantes trombos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intraprótesis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la mayor de 1.2cm, además se realiza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cinefluoroscopía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en sala de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hemodinamia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que muestra válvula mecánica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bidisco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en posición aórtica con movilidad conservada de un solo disco estando el otro en posición de cierre total.</w:t>
      </w:r>
      <w:r w:rsidR="00EB4E4C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Luego de la compensación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con tratamiento </w:t>
      </w:r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médico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asociado y evaluación con el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Heart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Team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se </w:t>
      </w:r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decide </w:t>
      </w:r>
      <w:proofErr w:type="spellStart"/>
      <w:r w:rsidR="00184A12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trombolí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sis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.</w:t>
      </w:r>
    </w:p>
    <w:p w:rsidR="002D6428" w:rsidRDefault="002D6428" w:rsidP="002D6428">
      <w:pPr>
        <w:spacing w:after="0" w:line="240" w:lineRule="auto"/>
        <w:jc w:val="both"/>
        <w:rPr>
          <w:rFonts w:ascii="Arial" w:hAnsi="Arial" w:cs="Arial"/>
          <w:b/>
          <w:color w:val="1F1A17"/>
          <w:sz w:val="24"/>
          <w:szCs w:val="24"/>
          <w:shd w:val="clear" w:color="auto" w:fill="FFFFFF"/>
        </w:rPr>
      </w:pPr>
    </w:p>
    <w:p w:rsidR="001310A6" w:rsidRPr="002D6428" w:rsidRDefault="00184A12" w:rsidP="002D6428">
      <w:pPr>
        <w:spacing w:after="0" w:line="240" w:lineRule="auto"/>
        <w:jc w:val="both"/>
        <w:rPr>
          <w:rFonts w:ascii="Arial" w:hAnsi="Arial" w:cs="Arial"/>
          <w:color w:val="1F1A17"/>
          <w:sz w:val="24"/>
          <w:szCs w:val="24"/>
          <w:shd w:val="clear" w:color="auto" w:fill="FFFFFF"/>
        </w:rPr>
      </w:pPr>
      <w:r w:rsidRPr="002D6428">
        <w:rPr>
          <w:rFonts w:ascii="Arial" w:hAnsi="Arial" w:cs="Arial"/>
          <w:b/>
          <w:color w:val="1F1A17"/>
          <w:sz w:val="24"/>
          <w:szCs w:val="24"/>
          <w:shd w:val="clear" w:color="auto" w:fill="FFFFFF"/>
        </w:rPr>
        <w:t>Resultados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: Se realiza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trombolí</w:t>
      </w:r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sis</w:t>
      </w:r>
      <w:proofErr w:type="spellEnd"/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(evidencia </w:t>
      </w:r>
      <w:proofErr w:type="spellStart"/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IIaC</w:t>
      </w:r>
      <w:proofErr w:type="spellEnd"/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) </w:t>
      </w:r>
      <w:proofErr w:type="spellStart"/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Alteplase</w:t>
      </w:r>
      <w:proofErr w:type="spellEnd"/>
      <w:r w:rsidR="001310A6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10mg EV en bolo 10mi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n, luego BIC de 90mg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en 90min, según las recomendaciones d</w:t>
      </w:r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e las guías AHA 2014 y ESC 2017, seguidamente de anticoagulación por BIC de HNF.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Una semana posterior al procedimiento,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pcte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retoma CF II, compensación de IC, realizando ecocardiograma TE de control que mostró FEVI: 19%</w:t>
      </w:r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</w:t>
      </w:r>
      <w:proofErr w:type="spellStart"/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Gmed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: 24mmHg y a la segunda semana de tratamiento nuevo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ecocardiogramaTE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mostrando ausencia de trombos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intraprótesis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aórtica con excursión normal de sus elementos móviles,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Gmed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: 11mmHg y </w:t>
      </w:r>
      <w:proofErr w:type="spellStart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Gmáx</w:t>
      </w:r>
      <w:proofErr w:type="spellEnd"/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: 19mmHg.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Recuperando CF I NYHA. Una vez dado de alta, se implanta DAI subcutáneo. </w:t>
      </w:r>
    </w:p>
    <w:p w:rsidR="00FF4CAA" w:rsidRPr="002D6428" w:rsidRDefault="00106C88" w:rsidP="002D6428">
      <w:pPr>
        <w:spacing w:line="240" w:lineRule="auto"/>
        <w:jc w:val="both"/>
        <w:rPr>
          <w:rFonts w:ascii="Arial" w:hAnsi="Arial" w:cs="Arial"/>
          <w:color w:val="1F1A17"/>
          <w:sz w:val="24"/>
          <w:szCs w:val="24"/>
          <w:shd w:val="clear" w:color="auto" w:fill="FFFFFF"/>
        </w:rPr>
      </w:pPr>
      <w:r w:rsidRPr="002D6428">
        <w:rPr>
          <w:rFonts w:ascii="Arial" w:hAnsi="Arial" w:cs="Arial"/>
          <w:b/>
          <w:color w:val="1F1A17"/>
          <w:sz w:val="24"/>
          <w:szCs w:val="24"/>
          <w:shd w:val="clear" w:color="auto" w:fill="FFFFFF"/>
        </w:rPr>
        <w:lastRenderedPageBreak/>
        <w:t>Conclusión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:</w:t>
      </w:r>
      <w:r w:rsidR="00FF4CAA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La presentación de este caso guarda relación con la baja prevalencia de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esta complicación tardía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, y a que no se registran casos de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trom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bolísis</w:t>
      </w:r>
      <w:proofErr w:type="spellEnd"/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en éste centro de referencia cardioquirúrgico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. Y a la 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decisión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de fibrinólisis en un </w:t>
      </w:r>
      <w:proofErr w:type="spellStart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pcte</w:t>
      </w:r>
      <w:proofErr w:type="spellEnd"/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de alto riesgo 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quirúrgico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. Para evitar el riesgo de trombosis el tratamiento con antagonistas de la vitamina K debe iniciarse a las 24-48 hs de la cirugía cardíaca. Se debe mantener un INR entre 2-3 para las prótesis mecánicas aórticas y entre 2,5-3,5 para pacient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es de alto riesgo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o 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con prótesis mecánicas mitrales. 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Se recomienda, 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además,</w:t>
      </w:r>
      <w:r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 xml:space="preserve"> agregar ácido acetilsalicílico 75-100 mg a todos los pacientes con prótesis mecánicas y a aquellos con prótesis biológicas con factores de riesgo</w:t>
      </w:r>
      <w:r w:rsidR="004637C5" w:rsidRPr="002D6428">
        <w:rPr>
          <w:rFonts w:ascii="Arial" w:hAnsi="Arial" w:cs="Arial"/>
          <w:color w:val="1F1A17"/>
          <w:sz w:val="24"/>
          <w:szCs w:val="24"/>
          <w:shd w:val="clear" w:color="auto" w:fill="FFFFFF"/>
        </w:rPr>
        <w:t>.</w:t>
      </w:r>
    </w:p>
    <w:p w:rsidR="001310A6" w:rsidRPr="007A145F" w:rsidRDefault="001310A6" w:rsidP="007A145F">
      <w:pPr>
        <w:jc w:val="both"/>
        <w:rPr>
          <w:lang w:val="es-CL"/>
        </w:rPr>
      </w:pPr>
    </w:p>
    <w:sectPr w:rsidR="001310A6" w:rsidRPr="007A145F" w:rsidSect="002D50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A145F"/>
    <w:rsid w:val="00106C88"/>
    <w:rsid w:val="001310A6"/>
    <w:rsid w:val="00165093"/>
    <w:rsid w:val="00184A12"/>
    <w:rsid w:val="002D5051"/>
    <w:rsid w:val="002D6428"/>
    <w:rsid w:val="004637C5"/>
    <w:rsid w:val="004A3B5F"/>
    <w:rsid w:val="005C4056"/>
    <w:rsid w:val="006D11A3"/>
    <w:rsid w:val="007A145F"/>
    <w:rsid w:val="007B49E8"/>
    <w:rsid w:val="00EB4E4C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51"/>
  </w:style>
  <w:style w:type="paragraph" w:styleId="Ttulo1">
    <w:name w:val="heading 1"/>
    <w:basedOn w:val="Normal"/>
    <w:next w:val="Normal"/>
    <w:link w:val="Ttulo1Car"/>
    <w:uiPriority w:val="9"/>
    <w:qFormat/>
    <w:rsid w:val="002D5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0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5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50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D50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D50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D50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D50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D50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5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D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D50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D50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D50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D50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D50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D50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D50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D5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D5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50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50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D5051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2D505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2D5051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2D5051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2D505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D505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0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505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D505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D505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D5051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2D50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505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2D50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178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AGEH</dc:creator>
  <cp:keywords/>
  <dc:description/>
  <cp:lastModifiedBy>Usuario</cp:lastModifiedBy>
  <cp:revision>5</cp:revision>
  <dcterms:created xsi:type="dcterms:W3CDTF">2019-04-28T03:39:00Z</dcterms:created>
  <dcterms:modified xsi:type="dcterms:W3CDTF">2019-05-02T13:47:00Z</dcterms:modified>
</cp:coreProperties>
</file>