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BA" w:rsidRPr="00100BBA" w:rsidRDefault="00100BBA" w:rsidP="00C466C1">
      <w:pPr>
        <w:jc w:val="both"/>
        <w:rPr>
          <w:rFonts w:ascii="Arial" w:hAnsi="Arial" w:cs="Arial"/>
          <w:sz w:val="60"/>
          <w:szCs w:val="60"/>
          <w:lang w:val="es-CL"/>
        </w:rPr>
      </w:pPr>
      <w:bookmarkStart w:id="0" w:name="_GoBack"/>
      <w:bookmarkEnd w:id="0"/>
      <w:r w:rsidRPr="00100BBA">
        <w:rPr>
          <w:rFonts w:ascii="Arial" w:hAnsi="Arial" w:cs="Arial"/>
          <w:sz w:val="60"/>
          <w:szCs w:val="60"/>
          <w:lang w:val="es-CL"/>
        </w:rPr>
        <w:t>19</w:t>
      </w:r>
    </w:p>
    <w:p w:rsidR="00C466C1" w:rsidRPr="00100BBA" w:rsidRDefault="00C466C1" w:rsidP="00C466C1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100BBA">
        <w:rPr>
          <w:rFonts w:ascii="Arial" w:hAnsi="Arial" w:cs="Arial"/>
          <w:b/>
          <w:sz w:val="24"/>
          <w:szCs w:val="24"/>
          <w:lang w:val="es-CL"/>
        </w:rPr>
        <w:t>PACIENTES CON LATEN</w:t>
      </w:r>
      <w:r w:rsidR="002F7B9B" w:rsidRPr="00100BBA">
        <w:rPr>
          <w:rFonts w:ascii="Arial" w:hAnsi="Arial" w:cs="Arial"/>
          <w:b/>
          <w:sz w:val="24"/>
          <w:szCs w:val="24"/>
          <w:lang w:val="es-CL"/>
        </w:rPr>
        <w:t>T AUTOINMUNE DIABETES IN ADULTS:</w:t>
      </w:r>
      <w:r w:rsidRPr="00100BBA">
        <w:rPr>
          <w:rFonts w:ascii="Arial" w:hAnsi="Arial" w:cs="Arial"/>
          <w:b/>
          <w:sz w:val="24"/>
          <w:szCs w:val="24"/>
          <w:lang w:val="es-CL"/>
        </w:rPr>
        <w:t xml:space="preserve"> FRECUENCIA, CARACTERÍSTICAS CLÍNICAS Y METABÓLICAS</w:t>
      </w:r>
    </w:p>
    <w:p w:rsidR="002F7B9B" w:rsidRPr="00100BBA" w:rsidRDefault="00AE49E3" w:rsidP="00C466C1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sz w:val="24"/>
          <w:szCs w:val="24"/>
          <w:lang w:val="es-CL"/>
        </w:rPr>
        <w:t>Elgueta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K</w:t>
      </w:r>
      <w:r w:rsidR="002F7B9B" w:rsidRPr="00100BBA">
        <w:rPr>
          <w:rFonts w:ascii="Arial" w:hAnsi="Arial" w:cs="Arial"/>
          <w:sz w:val="24"/>
          <w:szCs w:val="24"/>
          <w:vertAlign w:val="superscript"/>
          <w:lang w:val="es-CL"/>
        </w:rPr>
        <w:t>1</w:t>
      </w:r>
      <w:r w:rsidR="00B90068" w:rsidRPr="00100BBA">
        <w:rPr>
          <w:rFonts w:ascii="Arial" w:hAnsi="Arial" w:cs="Arial"/>
          <w:sz w:val="24"/>
          <w:szCs w:val="24"/>
          <w:lang w:val="es-CL"/>
        </w:rPr>
        <w:t xml:space="preserve">, </w:t>
      </w:r>
      <w:r w:rsidR="00C466C1" w:rsidRPr="00100BBA">
        <w:rPr>
          <w:rFonts w:ascii="Arial" w:hAnsi="Arial" w:cs="Arial"/>
          <w:sz w:val="24"/>
          <w:szCs w:val="24"/>
          <w:lang w:val="es-CL"/>
        </w:rPr>
        <w:t>Zapata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D</w:t>
      </w:r>
      <w:r w:rsidR="002F7B9B" w:rsidRPr="00100BBA">
        <w:rPr>
          <w:rFonts w:ascii="Arial" w:hAnsi="Arial" w:cs="Arial"/>
          <w:sz w:val="24"/>
          <w:szCs w:val="24"/>
          <w:vertAlign w:val="superscript"/>
          <w:lang w:val="es-CL"/>
        </w:rPr>
        <w:t>1,a</w:t>
      </w:r>
      <w:r w:rsidR="00341ED6" w:rsidRPr="00100BBA">
        <w:rPr>
          <w:rFonts w:ascii="Arial" w:hAnsi="Arial" w:cs="Arial"/>
          <w:sz w:val="24"/>
          <w:szCs w:val="24"/>
          <w:lang w:val="es-CL"/>
        </w:rPr>
        <w:t>,</w:t>
      </w:r>
      <w:r w:rsidR="00C466C1" w:rsidRPr="00100BBA">
        <w:rPr>
          <w:rFonts w:ascii="Arial" w:hAnsi="Arial" w:cs="Arial"/>
          <w:sz w:val="24"/>
          <w:szCs w:val="24"/>
          <w:lang w:val="es-CL"/>
        </w:rPr>
        <w:t xml:space="preserve"> Zapata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A</w:t>
      </w:r>
      <w:r w:rsidR="002F7B9B" w:rsidRPr="00100BBA">
        <w:rPr>
          <w:rFonts w:ascii="Arial" w:hAnsi="Arial" w:cs="Arial"/>
          <w:sz w:val="24"/>
          <w:szCs w:val="24"/>
          <w:vertAlign w:val="superscript"/>
          <w:lang w:val="es-CL"/>
        </w:rPr>
        <w:t>1,a</w:t>
      </w:r>
      <w:r w:rsidR="00341ED6" w:rsidRPr="00100BBA">
        <w:rPr>
          <w:rFonts w:ascii="Arial" w:hAnsi="Arial" w:cs="Arial"/>
          <w:sz w:val="24"/>
          <w:szCs w:val="24"/>
          <w:lang w:val="es-CL"/>
        </w:rPr>
        <w:t>,</w:t>
      </w:r>
      <w:r w:rsidR="002F7B9B" w:rsidRPr="00100BBA">
        <w:rPr>
          <w:rFonts w:ascii="Arial" w:hAnsi="Arial" w:cs="Arial"/>
          <w:sz w:val="24"/>
          <w:szCs w:val="24"/>
          <w:lang w:val="es-CL"/>
        </w:rPr>
        <w:t>Villar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F</w:t>
      </w:r>
      <w:r w:rsidR="002F7B9B" w:rsidRPr="00100BBA">
        <w:rPr>
          <w:rFonts w:ascii="Arial" w:hAnsi="Arial" w:cs="Arial"/>
          <w:sz w:val="24"/>
          <w:szCs w:val="24"/>
          <w:vertAlign w:val="superscript"/>
          <w:lang w:val="es-CL"/>
        </w:rPr>
        <w:t>1,a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, </w:t>
      </w:r>
      <w:r w:rsidR="002F7B9B" w:rsidRPr="00100BBA">
        <w:rPr>
          <w:rFonts w:ascii="Arial" w:hAnsi="Arial" w:cs="Arial"/>
          <w:sz w:val="24"/>
          <w:szCs w:val="24"/>
          <w:lang w:val="es-CL"/>
        </w:rPr>
        <w:t>Rubio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C</w:t>
      </w:r>
      <w:r w:rsidR="002F7B9B" w:rsidRPr="00100BBA">
        <w:rPr>
          <w:rFonts w:ascii="Arial" w:hAnsi="Arial" w:cs="Arial"/>
          <w:sz w:val="24"/>
          <w:szCs w:val="24"/>
          <w:vertAlign w:val="superscript"/>
          <w:lang w:val="es-CL"/>
        </w:rPr>
        <w:t>1,b</w:t>
      </w:r>
      <w:r w:rsidR="002F7B9B" w:rsidRPr="00100BBA">
        <w:rPr>
          <w:rFonts w:ascii="Arial" w:hAnsi="Arial" w:cs="Arial"/>
          <w:sz w:val="24"/>
          <w:szCs w:val="24"/>
          <w:lang w:val="es-CL"/>
        </w:rPr>
        <w:t xml:space="preserve"> </w:t>
      </w:r>
      <w:r w:rsidRPr="00100BBA">
        <w:rPr>
          <w:rFonts w:ascii="Arial" w:hAnsi="Arial" w:cs="Arial"/>
          <w:sz w:val="24"/>
          <w:szCs w:val="24"/>
          <w:lang w:val="es-CL"/>
        </w:rPr>
        <w:t>, Rivas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M </w:t>
      </w:r>
      <w:r w:rsidRPr="00100BBA">
        <w:rPr>
          <w:rFonts w:ascii="Arial" w:hAnsi="Arial" w:cs="Arial"/>
          <w:sz w:val="24"/>
          <w:szCs w:val="24"/>
          <w:vertAlign w:val="superscript"/>
          <w:lang w:val="es-CL"/>
        </w:rPr>
        <w:t>1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, </w:t>
      </w:r>
      <w:r w:rsidR="00C466C1" w:rsidRPr="00100BBA">
        <w:rPr>
          <w:rFonts w:ascii="Arial" w:hAnsi="Arial" w:cs="Arial"/>
          <w:sz w:val="24"/>
          <w:szCs w:val="24"/>
          <w:lang w:val="es-CL"/>
        </w:rPr>
        <w:t>Durrut</w:t>
      </w:r>
      <w:r w:rsidR="002F7B9B" w:rsidRPr="00100BBA">
        <w:rPr>
          <w:rFonts w:ascii="Arial" w:hAnsi="Arial" w:cs="Arial"/>
          <w:sz w:val="24"/>
          <w:szCs w:val="24"/>
          <w:lang w:val="es-CL"/>
        </w:rPr>
        <w:t>y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P</w:t>
      </w:r>
      <w:r w:rsidR="002F7B9B" w:rsidRPr="00100BBA">
        <w:rPr>
          <w:rFonts w:ascii="Arial" w:hAnsi="Arial" w:cs="Arial"/>
          <w:sz w:val="24"/>
          <w:szCs w:val="24"/>
          <w:vertAlign w:val="superscript"/>
          <w:lang w:val="es-CL"/>
        </w:rPr>
        <w:t>1,2c</w:t>
      </w:r>
      <w:r w:rsidR="002F7B9B" w:rsidRPr="00100BBA">
        <w:rPr>
          <w:rFonts w:ascii="Arial" w:hAnsi="Arial" w:cs="Arial"/>
          <w:sz w:val="24"/>
          <w:szCs w:val="24"/>
          <w:lang w:val="es-CL"/>
        </w:rPr>
        <w:t>.</w:t>
      </w:r>
    </w:p>
    <w:p w:rsidR="002F7B9B" w:rsidRPr="00100BBA" w:rsidRDefault="002F7B9B" w:rsidP="00FB383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sz w:val="24"/>
          <w:szCs w:val="24"/>
          <w:lang w:val="es-CL"/>
        </w:rPr>
        <w:t>Unidad de Diabetes Hospital San Juan de Dios.</w:t>
      </w:r>
    </w:p>
    <w:p w:rsidR="002F7B9B" w:rsidRPr="00100BBA" w:rsidRDefault="002F7B9B" w:rsidP="002F7B9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sz w:val="24"/>
          <w:szCs w:val="24"/>
          <w:lang w:val="es-CL"/>
        </w:rPr>
        <w:t>Hospital Clìnico Universidad de Chile</w:t>
      </w:r>
    </w:p>
    <w:p w:rsidR="002F7B9B" w:rsidRPr="00100BBA" w:rsidRDefault="00FB383B" w:rsidP="00FB383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sz w:val="24"/>
          <w:szCs w:val="24"/>
          <w:vertAlign w:val="superscript"/>
          <w:lang w:val="es-CL"/>
        </w:rPr>
        <w:t>a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 </w:t>
      </w:r>
      <w:r w:rsidR="002F7B9B" w:rsidRPr="00100BBA">
        <w:rPr>
          <w:rFonts w:ascii="Arial" w:hAnsi="Arial" w:cs="Arial"/>
          <w:sz w:val="24"/>
          <w:szCs w:val="24"/>
          <w:lang w:val="es-CL"/>
        </w:rPr>
        <w:t>Ayudante Alumno  Escuela de Medicina</w:t>
      </w:r>
    </w:p>
    <w:p w:rsidR="002F7B9B" w:rsidRPr="00100BBA" w:rsidRDefault="00FB383B" w:rsidP="00FB383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sz w:val="24"/>
          <w:szCs w:val="24"/>
          <w:vertAlign w:val="superscript"/>
          <w:lang w:val="es-CL"/>
        </w:rPr>
        <w:t>b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</w:t>
      </w:r>
      <w:r w:rsidR="002F7B9B" w:rsidRPr="00100BBA">
        <w:rPr>
          <w:rFonts w:ascii="Arial" w:hAnsi="Arial" w:cs="Arial"/>
          <w:sz w:val="24"/>
          <w:szCs w:val="24"/>
          <w:lang w:val="es-CL"/>
        </w:rPr>
        <w:t>Nutricionista</w:t>
      </w:r>
    </w:p>
    <w:p w:rsidR="002F7B9B" w:rsidRPr="00100BBA" w:rsidRDefault="00FB383B" w:rsidP="00FB383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sz w:val="24"/>
          <w:szCs w:val="24"/>
          <w:vertAlign w:val="superscript"/>
          <w:lang w:val="es-CL"/>
        </w:rPr>
        <w:t>c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</w:t>
      </w:r>
      <w:r w:rsidR="002F7B9B" w:rsidRPr="00100BBA">
        <w:rPr>
          <w:rFonts w:ascii="Arial" w:hAnsi="Arial" w:cs="Arial"/>
          <w:sz w:val="24"/>
          <w:szCs w:val="24"/>
          <w:lang w:val="es-CL"/>
        </w:rPr>
        <w:t>Bioquimico.</w:t>
      </w:r>
    </w:p>
    <w:p w:rsidR="00C466C1" w:rsidRPr="00100BBA" w:rsidRDefault="00C466C1" w:rsidP="002F7B9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b/>
          <w:sz w:val="24"/>
          <w:szCs w:val="24"/>
          <w:lang w:val="es-CL"/>
        </w:rPr>
        <w:t>Introducción.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La Diabetes Autoinmune Latente del Adulto (LADA) es una Diabetes Mellitus </w:t>
      </w:r>
      <w:r w:rsidR="002208F1" w:rsidRPr="00100BBA">
        <w:rPr>
          <w:rFonts w:ascii="Arial" w:hAnsi="Arial" w:cs="Arial"/>
          <w:sz w:val="24"/>
          <w:szCs w:val="24"/>
          <w:lang w:val="es-CL"/>
        </w:rPr>
        <w:t>Tipo 1 (DM1) de presentación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tardía y lenta progresión a la insulinodependencia. Afecta al 3–15% de las personas con DM. El autoanticuerpo antiglutamato decarboxilasa (antiGAD) es su marcador espec</w:t>
      </w:r>
      <w:r w:rsidR="002208F1" w:rsidRPr="00100BBA">
        <w:rPr>
          <w:rFonts w:ascii="Arial" w:hAnsi="Arial" w:cs="Arial"/>
          <w:sz w:val="24"/>
          <w:szCs w:val="24"/>
          <w:lang w:val="es-CL"/>
        </w:rPr>
        <w:t>ífico más sensible. S</w:t>
      </w:r>
      <w:r w:rsidRPr="00100BBA">
        <w:rPr>
          <w:rFonts w:ascii="Arial" w:hAnsi="Arial" w:cs="Arial"/>
          <w:sz w:val="24"/>
          <w:szCs w:val="24"/>
          <w:lang w:val="es-CL"/>
        </w:rPr>
        <w:t>on diagnost</w:t>
      </w:r>
      <w:r w:rsidR="00492979" w:rsidRPr="00100BBA">
        <w:rPr>
          <w:rFonts w:ascii="Arial" w:hAnsi="Arial" w:cs="Arial"/>
          <w:sz w:val="24"/>
          <w:szCs w:val="24"/>
          <w:lang w:val="es-CL"/>
        </w:rPr>
        <w:t>icados antes de los 50 años y con</w:t>
      </w:r>
      <w:r w:rsidR="002F7B9B" w:rsidRPr="00100BBA">
        <w:rPr>
          <w:rFonts w:ascii="Arial" w:hAnsi="Arial" w:cs="Arial"/>
          <w:sz w:val="24"/>
          <w:szCs w:val="24"/>
          <w:lang w:val="es-CL"/>
        </w:rPr>
        <w:t xml:space="preserve"> IMC&lt;</w:t>
      </w:r>
      <w:r w:rsidRPr="00100BBA">
        <w:rPr>
          <w:rFonts w:ascii="Arial" w:hAnsi="Arial" w:cs="Arial"/>
          <w:sz w:val="24"/>
          <w:szCs w:val="24"/>
          <w:lang w:val="es-CL"/>
        </w:rPr>
        <w:t>25 kg/m</w:t>
      </w:r>
      <w:r w:rsidRPr="00100BBA">
        <w:rPr>
          <w:rFonts w:ascii="Arial" w:hAnsi="Arial" w:cs="Arial"/>
          <w:sz w:val="24"/>
          <w:szCs w:val="24"/>
          <w:vertAlign w:val="superscript"/>
          <w:lang w:val="es-CL"/>
        </w:rPr>
        <w:t>2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. La cetoacidosis diabética es una forma de debut </w:t>
      </w:r>
      <w:r w:rsidR="002208F1" w:rsidRPr="00100BBA">
        <w:rPr>
          <w:rFonts w:ascii="Arial" w:hAnsi="Arial" w:cs="Arial"/>
          <w:sz w:val="24"/>
          <w:szCs w:val="24"/>
          <w:lang w:val="es-CL"/>
        </w:rPr>
        <w:t>poco frecuente</w:t>
      </w:r>
      <w:r w:rsidRPr="00100BBA">
        <w:rPr>
          <w:rFonts w:ascii="Arial" w:hAnsi="Arial" w:cs="Arial"/>
          <w:sz w:val="24"/>
          <w:szCs w:val="24"/>
          <w:lang w:val="es-CL"/>
        </w:rPr>
        <w:t>.</w:t>
      </w:r>
    </w:p>
    <w:p w:rsidR="00C466C1" w:rsidRPr="00100BBA" w:rsidRDefault="00C466C1" w:rsidP="00C466C1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b/>
          <w:sz w:val="24"/>
          <w:szCs w:val="24"/>
          <w:lang w:val="es-CL"/>
        </w:rPr>
        <w:t>Objetivo</w:t>
      </w:r>
      <w:r w:rsidR="00A9656B" w:rsidRPr="00100BBA">
        <w:rPr>
          <w:rFonts w:ascii="Arial" w:hAnsi="Arial" w:cs="Arial"/>
          <w:sz w:val="24"/>
          <w:szCs w:val="24"/>
          <w:lang w:val="es-CL"/>
        </w:rPr>
        <w:t>. Analizar la frecuencia</w:t>
      </w:r>
      <w:r w:rsidR="00341ED6" w:rsidRPr="00100BBA">
        <w:rPr>
          <w:rFonts w:ascii="Arial" w:hAnsi="Arial" w:cs="Arial"/>
          <w:color w:val="FF0000"/>
          <w:sz w:val="24"/>
          <w:szCs w:val="24"/>
          <w:lang w:val="es-CL"/>
        </w:rPr>
        <w:t>,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características clínic</w:t>
      </w:r>
      <w:r w:rsidR="002208F1" w:rsidRPr="00100BBA">
        <w:rPr>
          <w:rFonts w:ascii="Arial" w:hAnsi="Arial" w:cs="Arial"/>
          <w:sz w:val="24"/>
          <w:szCs w:val="24"/>
          <w:lang w:val="es-CL"/>
        </w:rPr>
        <w:t xml:space="preserve">as y metabólicas de 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pacientes con diagnóstico de LADA. </w:t>
      </w:r>
    </w:p>
    <w:p w:rsidR="00C466C1" w:rsidRPr="00100BBA" w:rsidRDefault="00C466C1" w:rsidP="00C466C1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b/>
          <w:sz w:val="24"/>
          <w:szCs w:val="24"/>
          <w:lang w:val="es-CL"/>
        </w:rPr>
        <w:t>Material y Método.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Revisión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</w:t>
      </w:r>
      <w:r w:rsidR="00A9656B" w:rsidRPr="00100BBA">
        <w:rPr>
          <w:rFonts w:ascii="Arial" w:hAnsi="Arial" w:cs="Arial"/>
          <w:sz w:val="24"/>
          <w:szCs w:val="24"/>
          <w:lang w:val="es-CL"/>
        </w:rPr>
        <w:t>721 fichas clínicas</w:t>
      </w:r>
      <w:r w:rsidR="002208F1" w:rsidRPr="00100BBA">
        <w:rPr>
          <w:rFonts w:ascii="Arial" w:hAnsi="Arial" w:cs="Arial"/>
          <w:sz w:val="24"/>
          <w:szCs w:val="24"/>
          <w:lang w:val="es-CL"/>
        </w:rPr>
        <w:t xml:space="preserve"> de </w:t>
      </w:r>
      <w:r w:rsidRPr="00100BBA">
        <w:rPr>
          <w:rFonts w:ascii="Arial" w:hAnsi="Arial" w:cs="Arial"/>
          <w:sz w:val="24"/>
          <w:szCs w:val="24"/>
          <w:lang w:val="es-CL"/>
        </w:rPr>
        <w:t>DM1</w:t>
      </w:r>
      <w:r w:rsidR="00A9656B" w:rsidRPr="00100BBA">
        <w:rPr>
          <w:rFonts w:ascii="Arial" w:hAnsi="Arial" w:cs="Arial"/>
          <w:sz w:val="24"/>
          <w:szCs w:val="24"/>
          <w:lang w:val="es-CL"/>
        </w:rPr>
        <w:t>,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controlados en la Unidad de Diabetes</w:t>
      </w:r>
      <w:r w:rsidR="00A9656B" w:rsidRPr="00100BBA">
        <w:rPr>
          <w:rFonts w:ascii="Arial" w:hAnsi="Arial" w:cs="Arial"/>
          <w:sz w:val="24"/>
          <w:szCs w:val="24"/>
          <w:lang w:val="es-CL"/>
        </w:rPr>
        <w:t xml:space="preserve"> de un H</w:t>
      </w:r>
      <w:r w:rsidRPr="00100BBA">
        <w:rPr>
          <w:rFonts w:ascii="Arial" w:hAnsi="Arial" w:cs="Arial"/>
          <w:sz w:val="24"/>
          <w:szCs w:val="24"/>
          <w:lang w:val="es-CL"/>
        </w:rPr>
        <w:t>ospital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, 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el 1,5% (n=11) tenían diagnóstico de LADA. </w:t>
      </w:r>
      <w:r w:rsidR="002208F1" w:rsidRPr="00100BBA">
        <w:rPr>
          <w:rFonts w:ascii="Arial" w:hAnsi="Arial" w:cs="Arial"/>
          <w:sz w:val="24"/>
          <w:szCs w:val="24"/>
          <w:lang w:val="es-CL"/>
        </w:rPr>
        <w:t>Se citaron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para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evaluación nutricional, complementar información de las condiciones clínicas al </w:t>
      </w:r>
      <w:r w:rsidR="002208F1" w:rsidRPr="00100BBA">
        <w:rPr>
          <w:rFonts w:ascii="Arial" w:hAnsi="Arial" w:cs="Arial"/>
          <w:sz w:val="24"/>
          <w:szCs w:val="24"/>
          <w:lang w:val="es-CL"/>
        </w:rPr>
        <w:t xml:space="preserve">momento del diagnóstico y </w:t>
      </w:r>
      <w:r w:rsidRPr="00100BBA">
        <w:rPr>
          <w:rFonts w:ascii="Arial" w:hAnsi="Arial" w:cs="Arial"/>
          <w:sz w:val="24"/>
          <w:szCs w:val="24"/>
          <w:lang w:val="es-CL"/>
        </w:rPr>
        <w:t>evolución. Se registró co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ntrol metabólico, 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comorbilidades especialmente autoinmunes y presencia de autoanticuerpos antiGAD positivos. Los parámetros se expresan en mediana (rango) y %. </w:t>
      </w:r>
    </w:p>
    <w:p w:rsidR="00C466C1" w:rsidRPr="00100BBA" w:rsidRDefault="00C466C1" w:rsidP="00C466C1">
      <w:pPr>
        <w:jc w:val="both"/>
        <w:rPr>
          <w:rFonts w:ascii="Arial" w:hAnsi="Arial" w:cs="Arial"/>
          <w:sz w:val="24"/>
          <w:szCs w:val="24"/>
          <w:lang w:val="es-CL"/>
        </w:rPr>
      </w:pPr>
      <w:r w:rsidRPr="00100BBA">
        <w:rPr>
          <w:rFonts w:ascii="Arial" w:hAnsi="Arial" w:cs="Arial"/>
          <w:b/>
          <w:sz w:val="24"/>
          <w:szCs w:val="24"/>
          <w:lang w:val="es-CL"/>
        </w:rPr>
        <w:t>Resultados</w:t>
      </w:r>
      <w:r w:rsidR="00341ED6" w:rsidRPr="00100BBA">
        <w:rPr>
          <w:rFonts w:ascii="Arial" w:hAnsi="Arial" w:cs="Arial"/>
          <w:sz w:val="24"/>
          <w:szCs w:val="24"/>
          <w:lang w:val="es-CL"/>
        </w:rPr>
        <w:t>. E</w:t>
      </w:r>
      <w:r w:rsidRPr="00100BBA">
        <w:rPr>
          <w:rFonts w:ascii="Arial" w:hAnsi="Arial" w:cs="Arial"/>
          <w:sz w:val="24"/>
          <w:szCs w:val="24"/>
          <w:lang w:val="es-CL"/>
        </w:rPr>
        <w:t>dad al diagnóstico 36</w:t>
      </w:r>
      <w:r w:rsidR="00A9656B" w:rsidRPr="00100BBA">
        <w:rPr>
          <w:rFonts w:ascii="Arial" w:hAnsi="Arial" w:cs="Arial"/>
          <w:sz w:val="24"/>
          <w:szCs w:val="24"/>
          <w:lang w:val="es-CL"/>
        </w:rPr>
        <w:t xml:space="preserve"> años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(</w:t>
      </w:r>
      <w:r w:rsidR="00A9656B" w:rsidRPr="00100BBA">
        <w:rPr>
          <w:rFonts w:ascii="Arial" w:hAnsi="Arial" w:cs="Arial"/>
          <w:sz w:val="24"/>
          <w:szCs w:val="24"/>
          <w:lang w:val="es-CL"/>
        </w:rPr>
        <w:t>19-49)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, edad de inicio de insulinoterapia 39 </w:t>
      </w:r>
      <w:r w:rsidR="00A9656B" w:rsidRPr="00100BBA">
        <w:rPr>
          <w:rFonts w:ascii="Arial" w:hAnsi="Arial" w:cs="Arial"/>
          <w:sz w:val="24"/>
          <w:szCs w:val="24"/>
          <w:lang w:val="es-CL"/>
        </w:rPr>
        <w:t xml:space="preserve">años </w:t>
      </w:r>
      <w:r w:rsidRPr="00100BBA">
        <w:rPr>
          <w:rFonts w:ascii="Arial" w:hAnsi="Arial" w:cs="Arial"/>
          <w:sz w:val="24"/>
          <w:szCs w:val="24"/>
          <w:lang w:val="es-CL"/>
        </w:rPr>
        <w:t>(19-49)</w:t>
      </w:r>
      <w:r w:rsidR="00A9656B" w:rsidRPr="00100BBA">
        <w:rPr>
          <w:rFonts w:ascii="Arial" w:hAnsi="Arial" w:cs="Arial"/>
          <w:sz w:val="24"/>
          <w:szCs w:val="24"/>
          <w:lang w:val="es-CL"/>
        </w:rPr>
        <w:t>,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años de insulinoterapi</w:t>
      </w:r>
      <w:r w:rsidR="00A9656B" w:rsidRPr="00100BBA">
        <w:rPr>
          <w:rFonts w:ascii="Arial" w:hAnsi="Arial" w:cs="Arial"/>
          <w:sz w:val="24"/>
          <w:szCs w:val="24"/>
          <w:lang w:val="es-CL"/>
        </w:rPr>
        <w:t xml:space="preserve">a 5 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(5-24) y </w:t>
      </w:r>
      <w:r w:rsidR="00A9656B" w:rsidRPr="00100BBA">
        <w:rPr>
          <w:rFonts w:ascii="Arial" w:hAnsi="Arial" w:cs="Arial"/>
          <w:sz w:val="24"/>
          <w:szCs w:val="24"/>
          <w:lang w:val="es-CL"/>
        </w:rPr>
        <w:t>HbA1c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7,1% (6,5-8,8). Del total 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de pacientes LADA estudiados: </w:t>
      </w:r>
      <w:r w:rsidRPr="00100BBA">
        <w:rPr>
          <w:rFonts w:ascii="Arial" w:hAnsi="Arial" w:cs="Arial"/>
          <w:sz w:val="24"/>
          <w:szCs w:val="24"/>
          <w:lang w:val="es-CL"/>
        </w:rPr>
        <w:t>20% debutó</w:t>
      </w:r>
      <w:r w:rsidR="00341ED6" w:rsidRPr="00100BBA">
        <w:rPr>
          <w:rFonts w:ascii="Arial" w:hAnsi="Arial" w:cs="Arial"/>
          <w:sz w:val="24"/>
          <w:szCs w:val="24"/>
          <w:lang w:val="es-CL"/>
        </w:rPr>
        <w:t xml:space="preserve"> con cetoacidosis diabética, </w:t>
      </w:r>
      <w:r w:rsidRPr="00100BBA">
        <w:rPr>
          <w:rFonts w:ascii="Arial" w:hAnsi="Arial" w:cs="Arial"/>
          <w:sz w:val="24"/>
          <w:szCs w:val="24"/>
          <w:lang w:val="es-CL"/>
        </w:rPr>
        <w:t>10 % presentaba antecedente</w:t>
      </w:r>
      <w:r w:rsidR="002208F1" w:rsidRPr="00100BBA">
        <w:rPr>
          <w:rFonts w:ascii="Arial" w:hAnsi="Arial" w:cs="Arial"/>
          <w:sz w:val="24"/>
          <w:szCs w:val="24"/>
          <w:lang w:val="es-CL"/>
        </w:rPr>
        <w:t>s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d</w:t>
      </w:r>
      <w:r w:rsidR="002208F1" w:rsidRPr="00100BBA">
        <w:rPr>
          <w:rFonts w:ascii="Arial" w:hAnsi="Arial" w:cs="Arial"/>
          <w:sz w:val="24"/>
          <w:szCs w:val="24"/>
          <w:lang w:val="es-CL"/>
        </w:rPr>
        <w:t>e otra enfermedad autoinmune,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20% presenta alguna patología psiquiátrica y el 50% IMC actual &lt;25 kg/m</w:t>
      </w:r>
      <w:r w:rsidRPr="00100BBA">
        <w:rPr>
          <w:rFonts w:ascii="Arial" w:hAnsi="Arial" w:cs="Arial"/>
          <w:sz w:val="24"/>
          <w:szCs w:val="24"/>
          <w:vertAlign w:val="superscript"/>
          <w:lang w:val="es-CL"/>
        </w:rPr>
        <w:t>2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. </w:t>
      </w:r>
    </w:p>
    <w:p w:rsidR="00C466C1" w:rsidRPr="00100BBA" w:rsidRDefault="00C466C1" w:rsidP="00C466C1">
      <w:pPr>
        <w:jc w:val="both"/>
        <w:rPr>
          <w:rFonts w:ascii="Arial" w:hAnsi="Arial" w:cs="Arial"/>
          <w:color w:val="FF0000"/>
          <w:sz w:val="24"/>
          <w:szCs w:val="24"/>
          <w:lang w:val="es-CL"/>
        </w:rPr>
      </w:pPr>
      <w:r w:rsidRPr="00100BBA">
        <w:rPr>
          <w:rFonts w:ascii="Arial" w:hAnsi="Arial" w:cs="Arial"/>
          <w:b/>
          <w:sz w:val="24"/>
          <w:szCs w:val="24"/>
          <w:lang w:val="es-CL"/>
        </w:rPr>
        <w:t>Conclusión</w:t>
      </w:r>
      <w:r w:rsidR="00341ED6" w:rsidRPr="00100BBA">
        <w:rPr>
          <w:rFonts w:ascii="Arial" w:hAnsi="Arial" w:cs="Arial"/>
          <w:sz w:val="24"/>
          <w:szCs w:val="24"/>
          <w:lang w:val="es-CL"/>
        </w:rPr>
        <w:t>. E</w:t>
      </w:r>
      <w:r w:rsidRPr="00100BBA">
        <w:rPr>
          <w:rFonts w:ascii="Arial" w:hAnsi="Arial" w:cs="Arial"/>
          <w:sz w:val="24"/>
          <w:szCs w:val="24"/>
          <w:lang w:val="es-CL"/>
        </w:rPr>
        <w:t>l grupo de pacientes estudiados, los LADA son</w:t>
      </w:r>
      <w:r w:rsidR="002208F1" w:rsidRPr="00100BBA">
        <w:rPr>
          <w:rFonts w:ascii="Arial" w:hAnsi="Arial" w:cs="Arial"/>
          <w:sz w:val="24"/>
          <w:szCs w:val="24"/>
          <w:lang w:val="es-CL"/>
        </w:rPr>
        <w:t xml:space="preserve"> de muy baja frecuencia, 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podría ser consecuencia de subdiagnóstico. El debut en </w:t>
      </w:r>
      <w:r w:rsidR="00A9656B" w:rsidRPr="00100BBA">
        <w:rPr>
          <w:rFonts w:ascii="Arial" w:hAnsi="Arial" w:cs="Arial"/>
          <w:sz w:val="24"/>
          <w:szCs w:val="24"/>
          <w:lang w:val="es-CL"/>
        </w:rPr>
        <w:t>cetoacidosis diabética no fue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tan infrecuent</w:t>
      </w:r>
      <w:r w:rsidR="00FB383B" w:rsidRPr="00100BBA">
        <w:rPr>
          <w:rFonts w:ascii="Arial" w:hAnsi="Arial" w:cs="Arial"/>
          <w:sz w:val="24"/>
          <w:szCs w:val="24"/>
          <w:lang w:val="es-CL"/>
        </w:rPr>
        <w:t>e como lo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 descrito en la literatura. Frente a sospecha de un caso es necesario solicitar antiGAD para </w:t>
      </w:r>
      <w:r w:rsidR="002208F1" w:rsidRPr="00100BBA">
        <w:rPr>
          <w:rFonts w:ascii="Arial" w:hAnsi="Arial" w:cs="Arial"/>
          <w:sz w:val="24"/>
          <w:szCs w:val="24"/>
          <w:lang w:val="es-CL"/>
        </w:rPr>
        <w:t xml:space="preserve">el correcto diagnóstico y manejo oportuno </w:t>
      </w:r>
      <w:r w:rsidR="00FE218D" w:rsidRPr="00100BBA">
        <w:rPr>
          <w:rFonts w:ascii="Arial" w:hAnsi="Arial" w:cs="Arial"/>
          <w:sz w:val="24"/>
          <w:szCs w:val="24"/>
          <w:lang w:val="es-CL"/>
        </w:rPr>
        <w:t>con insulina</w:t>
      </w:r>
      <w:r w:rsidRPr="00100BBA">
        <w:rPr>
          <w:rFonts w:ascii="Arial" w:hAnsi="Arial" w:cs="Arial"/>
          <w:sz w:val="24"/>
          <w:szCs w:val="24"/>
          <w:lang w:val="es-CL"/>
        </w:rPr>
        <w:t xml:space="preserve">. </w:t>
      </w:r>
    </w:p>
    <w:p w:rsidR="00C466C1" w:rsidRPr="00100BBA" w:rsidRDefault="00C466C1" w:rsidP="00C466C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s-CL"/>
        </w:rPr>
      </w:pPr>
    </w:p>
    <w:p w:rsidR="004C250D" w:rsidRPr="00100BBA" w:rsidRDefault="004C250D" w:rsidP="00C466C1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sectPr w:rsidR="004C250D" w:rsidRPr="00100BBA" w:rsidSect="00991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8CC"/>
    <w:multiLevelType w:val="hybridMultilevel"/>
    <w:tmpl w:val="A1F4855A"/>
    <w:lvl w:ilvl="0" w:tplc="7144CF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7FD"/>
    <w:multiLevelType w:val="hybridMultilevel"/>
    <w:tmpl w:val="DC487596"/>
    <w:lvl w:ilvl="0" w:tplc="32C4F2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B25C8"/>
    <w:multiLevelType w:val="hybridMultilevel"/>
    <w:tmpl w:val="2EC6A8CA"/>
    <w:lvl w:ilvl="0" w:tplc="EDAC72BA">
      <w:start w:val="1"/>
      <w:numFmt w:val="decimal"/>
      <w:lvlText w:val="%1"/>
      <w:lvlJc w:val="left"/>
      <w:pPr>
        <w:ind w:left="502" w:hanging="360"/>
      </w:pPr>
      <w:rPr>
        <w:rFonts w:ascii="Times New Roman" w:eastAsiaTheme="minorHAnsi" w:hAnsi="Times New Roman" w:cs="Times New Roman"/>
        <w:color w:val="FF0000"/>
        <w:vertAlign w:val="superscrip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1"/>
    <w:rsid w:val="00016280"/>
    <w:rsid w:val="00100BBA"/>
    <w:rsid w:val="002208F1"/>
    <w:rsid w:val="00224742"/>
    <w:rsid w:val="002F7B9B"/>
    <w:rsid w:val="00341ED6"/>
    <w:rsid w:val="00492979"/>
    <w:rsid w:val="004939A7"/>
    <w:rsid w:val="004C250D"/>
    <w:rsid w:val="00505FF9"/>
    <w:rsid w:val="005B329F"/>
    <w:rsid w:val="0099136F"/>
    <w:rsid w:val="00A9656B"/>
    <w:rsid w:val="00AE49E3"/>
    <w:rsid w:val="00B90068"/>
    <w:rsid w:val="00C466C1"/>
    <w:rsid w:val="00FB383B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Carola Zapata Cardenas (amandazapatac)</dc:creator>
  <cp:lastModifiedBy>upg</cp:lastModifiedBy>
  <cp:revision>2</cp:revision>
  <dcterms:created xsi:type="dcterms:W3CDTF">2019-12-02T18:29:00Z</dcterms:created>
  <dcterms:modified xsi:type="dcterms:W3CDTF">2019-12-02T18:29:00Z</dcterms:modified>
</cp:coreProperties>
</file>