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3F" w:rsidRPr="00D9673F" w:rsidRDefault="00D9673F" w:rsidP="00D9673F">
      <w:pPr>
        <w:spacing w:after="0"/>
        <w:jc w:val="both"/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  <w:r w:rsidRPr="00D9673F">
        <w:rPr>
          <w:rFonts w:ascii="Arial" w:hAnsi="Arial" w:cs="Arial"/>
          <w:b/>
          <w:sz w:val="60"/>
          <w:szCs w:val="60"/>
        </w:rPr>
        <w:t>16</w:t>
      </w:r>
    </w:p>
    <w:p w:rsidR="00803D5F" w:rsidRPr="00D9673F" w:rsidRDefault="00803D5F" w:rsidP="00D967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9673F">
        <w:rPr>
          <w:rFonts w:ascii="Arial" w:hAnsi="Arial" w:cs="Arial"/>
          <w:b/>
          <w:sz w:val="24"/>
          <w:szCs w:val="24"/>
        </w:rPr>
        <w:t xml:space="preserve">EVOLUCIÓN DE LA RESISTENCIA A ANTIBIÓTICOS EN MICROORGANISMOS CAUSANTES DE INFECCIONES MÁS FRECUENTES EN SERVICIOS BÁSICOS DEL HOSPITAL SAN DE DIOS: UN ESTUDIO DE VIGILANCIA EPIDEMIOLÓGICA DURANTE 8 AÑOS EN POBLACIÓN HOSPITALARIA. </w:t>
      </w:r>
    </w:p>
    <w:p w:rsidR="002F2E8B" w:rsidRDefault="002F2E8B" w:rsidP="00803D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3D5F" w:rsidRPr="00D9673F" w:rsidRDefault="00803D5F" w:rsidP="00803D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73F">
        <w:rPr>
          <w:rFonts w:ascii="Arial" w:hAnsi="Arial" w:cs="Arial"/>
          <w:sz w:val="24"/>
          <w:szCs w:val="24"/>
        </w:rPr>
        <w:t xml:space="preserve">Allende M, Céspedes A, Morales P, Huanca A, Pérez B, Ojeda R, Kovacic M, Chanqueo L. </w:t>
      </w:r>
    </w:p>
    <w:p w:rsidR="00803D5F" w:rsidRPr="00D9673F" w:rsidRDefault="00803D5F" w:rsidP="00803D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73F">
        <w:rPr>
          <w:rFonts w:ascii="Arial" w:hAnsi="Arial" w:cs="Arial"/>
          <w:sz w:val="24"/>
          <w:szCs w:val="24"/>
        </w:rPr>
        <w:t>Servicio de Medicina, Laboratorio Microbiología Hospital San Juan de Dios.</w:t>
      </w:r>
    </w:p>
    <w:p w:rsidR="00803D5F" w:rsidRPr="00D9673F" w:rsidRDefault="00803D5F" w:rsidP="00803D5F">
      <w:pPr>
        <w:jc w:val="both"/>
        <w:rPr>
          <w:rFonts w:ascii="Arial" w:hAnsi="Arial" w:cs="Arial"/>
          <w:sz w:val="24"/>
          <w:szCs w:val="24"/>
        </w:rPr>
      </w:pPr>
    </w:p>
    <w:p w:rsidR="00803D5F" w:rsidRPr="00D9673F" w:rsidRDefault="00803D5F" w:rsidP="00803D5F">
      <w:pPr>
        <w:jc w:val="both"/>
        <w:rPr>
          <w:rFonts w:ascii="Arial" w:hAnsi="Arial" w:cs="Arial"/>
          <w:sz w:val="24"/>
          <w:szCs w:val="24"/>
        </w:rPr>
      </w:pPr>
      <w:r w:rsidRPr="00D9673F">
        <w:rPr>
          <w:rFonts w:ascii="Arial" w:hAnsi="Arial" w:cs="Arial"/>
          <w:i/>
          <w:sz w:val="24"/>
          <w:szCs w:val="24"/>
        </w:rPr>
        <w:t>Escherichia coli</w:t>
      </w:r>
      <w:r w:rsidRPr="00D9673F">
        <w:rPr>
          <w:rFonts w:ascii="Arial" w:hAnsi="Arial" w:cs="Arial"/>
          <w:sz w:val="24"/>
          <w:szCs w:val="24"/>
        </w:rPr>
        <w:t xml:space="preserve"> y </w:t>
      </w:r>
      <w:r w:rsidRPr="00D9673F">
        <w:rPr>
          <w:rFonts w:ascii="Arial" w:hAnsi="Arial" w:cs="Arial"/>
          <w:i/>
          <w:sz w:val="24"/>
          <w:szCs w:val="24"/>
        </w:rPr>
        <w:t>Klebsiella pneumoniae</w:t>
      </w:r>
      <w:r w:rsidRPr="00D9673F">
        <w:rPr>
          <w:rFonts w:ascii="Arial" w:hAnsi="Arial" w:cs="Arial"/>
          <w:sz w:val="24"/>
          <w:szCs w:val="24"/>
        </w:rPr>
        <w:t xml:space="preserve"> son los principales microorganismos (MO) aislados en servicios clínicos básicos de nuestro hospital, y se encuentran especialmente asociados a infecciones del tracto urinario y bacteriemias. Mundialmente se ha descrito un aumento de las tasas de resistencia, por mecanismos como belactamasas de espectro extendido (BLEE) y carbapenemasas -entre otros- limitando las opciones terapéuticas. El objetivo de nuestro trabajo fue evaluar en un periodo de 8 años los perfiles de susceptibilidad a los antibióticos de estos MO.</w:t>
      </w:r>
    </w:p>
    <w:p w:rsidR="00803D5F" w:rsidRPr="00D9673F" w:rsidRDefault="00803D5F" w:rsidP="00803D5F">
      <w:pPr>
        <w:jc w:val="both"/>
        <w:rPr>
          <w:rFonts w:ascii="Arial" w:hAnsi="Arial" w:cs="Arial"/>
          <w:sz w:val="24"/>
          <w:szCs w:val="24"/>
        </w:rPr>
      </w:pPr>
      <w:r w:rsidRPr="00D9673F">
        <w:rPr>
          <w:rFonts w:ascii="Arial" w:hAnsi="Arial" w:cs="Arial"/>
          <w:b/>
          <w:sz w:val="24"/>
          <w:szCs w:val="24"/>
        </w:rPr>
        <w:t>MATERIALES Y METODOS</w:t>
      </w:r>
      <w:r w:rsidRPr="00D9673F">
        <w:rPr>
          <w:rFonts w:ascii="Arial" w:hAnsi="Arial" w:cs="Arial"/>
          <w:sz w:val="24"/>
          <w:szCs w:val="24"/>
        </w:rPr>
        <w:t xml:space="preserve">: se analizó retrospectivamente los perfiles de susceptibilidad de </w:t>
      </w:r>
      <w:r w:rsidRPr="00D9673F">
        <w:rPr>
          <w:rFonts w:ascii="Arial" w:hAnsi="Arial" w:cs="Arial"/>
          <w:i/>
          <w:sz w:val="24"/>
          <w:szCs w:val="24"/>
        </w:rPr>
        <w:t>E. coli</w:t>
      </w:r>
      <w:r w:rsidRPr="00D9673F">
        <w:rPr>
          <w:rFonts w:ascii="Arial" w:hAnsi="Arial" w:cs="Arial"/>
          <w:sz w:val="24"/>
          <w:szCs w:val="24"/>
        </w:rPr>
        <w:t xml:space="preserve"> y </w:t>
      </w:r>
      <w:r w:rsidRPr="00D9673F">
        <w:rPr>
          <w:rFonts w:ascii="Arial" w:hAnsi="Arial" w:cs="Arial"/>
          <w:i/>
          <w:sz w:val="24"/>
          <w:szCs w:val="24"/>
        </w:rPr>
        <w:t>K. pneumoniae</w:t>
      </w:r>
      <w:r w:rsidRPr="00D9673F">
        <w:rPr>
          <w:rFonts w:ascii="Arial" w:hAnsi="Arial" w:cs="Arial"/>
          <w:sz w:val="24"/>
          <w:szCs w:val="24"/>
        </w:rPr>
        <w:t xml:space="preserve"> de los servicios clínicos básicos de adultos del HSJD -incluyendo los servicios de medicina, cirugía, urología, entre otros- seleccionando los reportes de susceptibilidad a los antimicrobianos elaborados por el laboratorio de microbiología los años 2010, 2014 y 2018. </w:t>
      </w:r>
    </w:p>
    <w:p w:rsidR="00803D5F" w:rsidRPr="00D9673F" w:rsidRDefault="00803D5F" w:rsidP="00803D5F">
      <w:pPr>
        <w:jc w:val="both"/>
        <w:rPr>
          <w:rFonts w:ascii="Arial" w:hAnsi="Arial" w:cs="Arial"/>
          <w:sz w:val="24"/>
          <w:szCs w:val="24"/>
        </w:rPr>
      </w:pPr>
      <w:r w:rsidRPr="00D9673F">
        <w:rPr>
          <w:rFonts w:ascii="Arial" w:hAnsi="Arial" w:cs="Arial"/>
          <w:b/>
          <w:sz w:val="24"/>
          <w:szCs w:val="24"/>
        </w:rPr>
        <w:t>RESULTADOS</w:t>
      </w:r>
      <w:r w:rsidRPr="00D9673F">
        <w:rPr>
          <w:rFonts w:ascii="Arial" w:hAnsi="Arial" w:cs="Arial"/>
          <w:sz w:val="24"/>
          <w:szCs w:val="24"/>
        </w:rPr>
        <w:t xml:space="preserve">: </w:t>
      </w:r>
      <w:r w:rsidRPr="00D9673F">
        <w:rPr>
          <w:rFonts w:ascii="Arial" w:hAnsi="Arial" w:cs="Arial"/>
          <w:i/>
          <w:sz w:val="24"/>
          <w:szCs w:val="24"/>
        </w:rPr>
        <w:t xml:space="preserve">E. coli </w:t>
      </w:r>
      <w:r w:rsidRPr="00D9673F">
        <w:rPr>
          <w:rFonts w:ascii="Arial" w:hAnsi="Arial" w:cs="Arial"/>
          <w:sz w:val="24"/>
          <w:szCs w:val="24"/>
        </w:rPr>
        <w:t xml:space="preserve">fue aislada en 459, 430 y 513 muestras y </w:t>
      </w:r>
      <w:r w:rsidRPr="00D9673F">
        <w:rPr>
          <w:rFonts w:ascii="Arial" w:hAnsi="Arial" w:cs="Arial"/>
          <w:i/>
          <w:sz w:val="24"/>
          <w:szCs w:val="24"/>
        </w:rPr>
        <w:t>K. pneumoniae</w:t>
      </w:r>
      <w:r w:rsidRPr="00D9673F">
        <w:rPr>
          <w:rFonts w:ascii="Arial" w:hAnsi="Arial" w:cs="Arial"/>
          <w:sz w:val="24"/>
          <w:szCs w:val="24"/>
        </w:rPr>
        <w:t xml:space="preserve"> en 156, 69 y 290 en los años 2010, 2014 y 2018, respectivamente. Cotrimoxazol, ciprofloxacino, amoxicilina/ácido clavulánico y cefalosporinas de 1° y 3° generación  presentan una tasa alta de resistencia &gt; 20% para ambos MO durante todos los períodos. La susceptibilidad a carbapenémicos se ha mantenido estable en </w:t>
      </w:r>
      <w:r w:rsidRPr="00D9673F">
        <w:rPr>
          <w:rFonts w:ascii="Arial" w:hAnsi="Arial" w:cs="Arial"/>
          <w:i/>
          <w:sz w:val="24"/>
          <w:szCs w:val="24"/>
        </w:rPr>
        <w:t>E. coli</w:t>
      </w:r>
      <w:r w:rsidRPr="00D9673F">
        <w:rPr>
          <w:rFonts w:ascii="Arial" w:hAnsi="Arial" w:cs="Arial"/>
          <w:sz w:val="24"/>
          <w:szCs w:val="24"/>
        </w:rPr>
        <w:t xml:space="preserve">, sin embargo en </w:t>
      </w:r>
      <w:r w:rsidRPr="00D9673F">
        <w:rPr>
          <w:rFonts w:ascii="Arial" w:hAnsi="Arial" w:cs="Arial"/>
          <w:i/>
          <w:sz w:val="24"/>
          <w:szCs w:val="24"/>
        </w:rPr>
        <w:t>K. pneumoniae</w:t>
      </w:r>
      <w:r w:rsidRPr="00D9673F">
        <w:rPr>
          <w:rFonts w:ascii="Arial" w:hAnsi="Arial" w:cs="Arial"/>
          <w:sz w:val="24"/>
          <w:szCs w:val="24"/>
        </w:rPr>
        <w:t xml:space="preserve"> sólo mantiene actividad el imipenem. Amikacina mantiene altas tasas de susceptibilidad en ambos MO. PIP/TAZ presenta susceptibilidad cercana al 90% para </w:t>
      </w:r>
      <w:r w:rsidRPr="00D9673F">
        <w:rPr>
          <w:rFonts w:ascii="Arial" w:hAnsi="Arial" w:cs="Arial"/>
          <w:i/>
          <w:sz w:val="24"/>
          <w:szCs w:val="24"/>
        </w:rPr>
        <w:t>E. coli</w:t>
      </w:r>
      <w:r w:rsidRPr="00D9673F">
        <w:rPr>
          <w:rFonts w:ascii="Arial" w:hAnsi="Arial" w:cs="Arial"/>
          <w:sz w:val="24"/>
          <w:szCs w:val="24"/>
        </w:rPr>
        <w:t xml:space="preserve">, sin embargo llega a un 28% para </w:t>
      </w:r>
      <w:r w:rsidRPr="00D9673F">
        <w:rPr>
          <w:rFonts w:ascii="Arial" w:hAnsi="Arial" w:cs="Arial"/>
          <w:i/>
          <w:sz w:val="24"/>
          <w:szCs w:val="24"/>
        </w:rPr>
        <w:t>K. pneumoniae</w:t>
      </w:r>
      <w:r w:rsidRPr="00D9673F">
        <w:rPr>
          <w:rFonts w:ascii="Arial" w:hAnsi="Arial" w:cs="Arial"/>
          <w:sz w:val="24"/>
          <w:szCs w:val="24"/>
        </w:rPr>
        <w:t xml:space="preserve"> al 2018. En el año 2018 se agrega el análisis de fosfomicina para </w:t>
      </w:r>
      <w:r w:rsidRPr="00D9673F">
        <w:rPr>
          <w:rFonts w:ascii="Arial" w:hAnsi="Arial" w:cs="Arial"/>
          <w:i/>
          <w:sz w:val="24"/>
          <w:szCs w:val="24"/>
        </w:rPr>
        <w:t>E. coli</w:t>
      </w:r>
      <w:r w:rsidRPr="00D9673F">
        <w:rPr>
          <w:rFonts w:ascii="Arial" w:hAnsi="Arial" w:cs="Arial"/>
          <w:sz w:val="24"/>
          <w:szCs w:val="24"/>
        </w:rPr>
        <w:t xml:space="preserve"> en urocultivos, alcanzando un 99% de susceptibilidad.</w:t>
      </w:r>
    </w:p>
    <w:p w:rsidR="00CD1C37" w:rsidRPr="00D9673F" w:rsidRDefault="00803D5F" w:rsidP="00803D5F">
      <w:pPr>
        <w:jc w:val="both"/>
        <w:rPr>
          <w:rFonts w:ascii="Arial" w:hAnsi="Arial" w:cs="Arial"/>
          <w:sz w:val="24"/>
          <w:szCs w:val="24"/>
        </w:rPr>
      </w:pPr>
      <w:r w:rsidRPr="00D9673F">
        <w:rPr>
          <w:rFonts w:ascii="Arial" w:hAnsi="Arial" w:cs="Arial"/>
          <w:b/>
          <w:sz w:val="24"/>
          <w:szCs w:val="24"/>
        </w:rPr>
        <w:t>CONCLUSION</w:t>
      </w:r>
      <w:r w:rsidRPr="00D9673F">
        <w:rPr>
          <w:rFonts w:ascii="Arial" w:hAnsi="Arial" w:cs="Arial"/>
          <w:sz w:val="24"/>
          <w:szCs w:val="24"/>
        </w:rPr>
        <w:t xml:space="preserve">: La susceptibilidad de </w:t>
      </w:r>
      <w:r w:rsidRPr="00D9673F">
        <w:rPr>
          <w:rFonts w:ascii="Arial" w:hAnsi="Arial" w:cs="Arial"/>
          <w:i/>
          <w:sz w:val="24"/>
          <w:szCs w:val="24"/>
        </w:rPr>
        <w:t>E. coli</w:t>
      </w:r>
      <w:r w:rsidRPr="00D9673F">
        <w:rPr>
          <w:rFonts w:ascii="Arial" w:hAnsi="Arial" w:cs="Arial"/>
          <w:sz w:val="24"/>
          <w:szCs w:val="24"/>
        </w:rPr>
        <w:t xml:space="preserve"> se ha mantenido estable durante el periodo en estudio, sin embargo en </w:t>
      </w:r>
      <w:r w:rsidRPr="00D9673F">
        <w:rPr>
          <w:rFonts w:ascii="Arial" w:hAnsi="Arial" w:cs="Arial"/>
          <w:i/>
          <w:sz w:val="24"/>
          <w:szCs w:val="24"/>
        </w:rPr>
        <w:t>K. pneumoniae</w:t>
      </w:r>
      <w:r w:rsidRPr="00D9673F">
        <w:rPr>
          <w:rFonts w:ascii="Arial" w:hAnsi="Arial" w:cs="Arial"/>
          <w:sz w:val="24"/>
          <w:szCs w:val="24"/>
        </w:rPr>
        <w:t xml:space="preserve"> ha evolucionado hacia mayores tasas de resistencia especialmente en carbapenémicos y PIP/TAZ. Considerando estos resultados, en el manejo empírico de infecciones bacterianas intrahospitalarias complicadas en servicios clínicos básicos, el tratamiento de elección probablemente debiese considerar imipenem, con o sin aminoglicósidos.</w:t>
      </w:r>
    </w:p>
    <w:sectPr w:rsidR="00CD1C37" w:rsidRPr="00D9673F" w:rsidSect="00437819">
      <w:pgSz w:w="12240" w:h="15840" w:code="1"/>
      <w:pgMar w:top="1417" w:right="1701" w:bottom="1417" w:left="1701" w:header="709" w:footer="709" w:gutter="0"/>
      <w:paperSrc w:first="6" w:other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5F"/>
    <w:rsid w:val="000D64A6"/>
    <w:rsid w:val="000E7A4D"/>
    <w:rsid w:val="001429E0"/>
    <w:rsid w:val="00267AA9"/>
    <w:rsid w:val="00274576"/>
    <w:rsid w:val="002F2E8B"/>
    <w:rsid w:val="003C3935"/>
    <w:rsid w:val="003E3285"/>
    <w:rsid w:val="00437819"/>
    <w:rsid w:val="00444D76"/>
    <w:rsid w:val="00460C2E"/>
    <w:rsid w:val="00491F69"/>
    <w:rsid w:val="00514D5E"/>
    <w:rsid w:val="00637754"/>
    <w:rsid w:val="00660677"/>
    <w:rsid w:val="00672B72"/>
    <w:rsid w:val="006D6704"/>
    <w:rsid w:val="00766011"/>
    <w:rsid w:val="007A19A1"/>
    <w:rsid w:val="00803D5F"/>
    <w:rsid w:val="009452AA"/>
    <w:rsid w:val="00963F11"/>
    <w:rsid w:val="009A406C"/>
    <w:rsid w:val="009B5851"/>
    <w:rsid w:val="009C19BC"/>
    <w:rsid w:val="009F3DEE"/>
    <w:rsid w:val="00A65D64"/>
    <w:rsid w:val="00AB3C55"/>
    <w:rsid w:val="00AC0B72"/>
    <w:rsid w:val="00AD66FB"/>
    <w:rsid w:val="00B777C9"/>
    <w:rsid w:val="00C150F9"/>
    <w:rsid w:val="00C2000A"/>
    <w:rsid w:val="00C63A2C"/>
    <w:rsid w:val="00CD1C37"/>
    <w:rsid w:val="00D9673F"/>
    <w:rsid w:val="00DB3DDD"/>
    <w:rsid w:val="00E5559C"/>
    <w:rsid w:val="00E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upg</cp:lastModifiedBy>
  <cp:revision>2</cp:revision>
  <dcterms:created xsi:type="dcterms:W3CDTF">2019-12-02T19:39:00Z</dcterms:created>
  <dcterms:modified xsi:type="dcterms:W3CDTF">2019-12-02T19:39:00Z</dcterms:modified>
</cp:coreProperties>
</file>