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E3" w:rsidRPr="003A22E3" w:rsidRDefault="003A22E3" w:rsidP="003A22E3">
      <w:pPr>
        <w:spacing w:after="0"/>
        <w:jc w:val="both"/>
        <w:rPr>
          <w:rFonts w:ascii="Arial" w:hAnsi="Arial" w:cs="Arial"/>
          <w:b/>
          <w:sz w:val="60"/>
          <w:szCs w:val="60"/>
        </w:rPr>
      </w:pPr>
      <w:r w:rsidRPr="003A22E3">
        <w:rPr>
          <w:rFonts w:ascii="Arial" w:hAnsi="Arial" w:cs="Arial"/>
          <w:b/>
          <w:sz w:val="60"/>
          <w:szCs w:val="60"/>
        </w:rPr>
        <w:t>11</w:t>
      </w:r>
    </w:p>
    <w:p w:rsidR="00386C7B" w:rsidRPr="003A22E3" w:rsidRDefault="00A5219B" w:rsidP="003A22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2E3">
        <w:rPr>
          <w:rFonts w:ascii="Arial" w:hAnsi="Arial" w:cs="Arial"/>
          <w:b/>
          <w:sz w:val="24"/>
          <w:szCs w:val="24"/>
        </w:rPr>
        <w:t xml:space="preserve">¿CUÁL ES EL ROL ACTUAL DE </w:t>
      </w:r>
      <w:r w:rsidR="00C85C95" w:rsidRPr="003A22E3">
        <w:rPr>
          <w:rFonts w:ascii="Arial" w:hAnsi="Arial" w:cs="Arial"/>
          <w:b/>
          <w:sz w:val="24"/>
          <w:szCs w:val="24"/>
        </w:rPr>
        <w:t xml:space="preserve">LA </w:t>
      </w:r>
      <w:r w:rsidRPr="003A22E3">
        <w:rPr>
          <w:rFonts w:ascii="Arial" w:hAnsi="Arial" w:cs="Arial"/>
          <w:b/>
          <w:sz w:val="24"/>
          <w:szCs w:val="24"/>
        </w:rPr>
        <w:t>NITROFURANTOÍNA Y FOSFOMICINA EN EL MANEJO DE UNA INFECCIÓN URINARIA AMBULATORIA EN EL SERVICIO DE SALUD METROPOLITANO OCCIDENTE?</w:t>
      </w:r>
    </w:p>
    <w:p w:rsidR="003A22E3" w:rsidRDefault="003A22E3" w:rsidP="003A22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C6FD6" w:rsidRPr="003A22E3" w:rsidRDefault="00FC6FD6" w:rsidP="003A22E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A22E3">
        <w:rPr>
          <w:rFonts w:ascii="Arial" w:hAnsi="Arial" w:cs="Arial"/>
          <w:sz w:val="24"/>
          <w:szCs w:val="24"/>
        </w:rPr>
        <w:t>Chanqueo</w:t>
      </w:r>
      <w:proofErr w:type="spellEnd"/>
      <w:r w:rsidRPr="003A22E3">
        <w:rPr>
          <w:rFonts w:ascii="Arial" w:hAnsi="Arial" w:cs="Arial"/>
          <w:sz w:val="24"/>
          <w:szCs w:val="24"/>
        </w:rPr>
        <w:t xml:space="preserve"> L, Morales P, Huanca A, Pérez B, Ojeda R, </w:t>
      </w:r>
      <w:r w:rsidR="00A5219B" w:rsidRPr="003A22E3">
        <w:rPr>
          <w:rFonts w:ascii="Arial" w:hAnsi="Arial" w:cs="Arial"/>
          <w:sz w:val="24"/>
          <w:szCs w:val="24"/>
        </w:rPr>
        <w:t xml:space="preserve">Kovacic M, </w:t>
      </w:r>
      <w:r w:rsidRPr="003A22E3">
        <w:rPr>
          <w:rFonts w:ascii="Arial" w:hAnsi="Arial" w:cs="Arial"/>
          <w:sz w:val="24"/>
          <w:szCs w:val="24"/>
        </w:rPr>
        <w:t>Céspedes A.</w:t>
      </w:r>
    </w:p>
    <w:p w:rsidR="00FC6FD6" w:rsidRDefault="00FC6FD6" w:rsidP="003A22E3">
      <w:pPr>
        <w:spacing w:after="0"/>
        <w:rPr>
          <w:rFonts w:ascii="Arial" w:hAnsi="Arial" w:cs="Arial"/>
          <w:sz w:val="24"/>
          <w:szCs w:val="24"/>
        </w:rPr>
      </w:pPr>
      <w:r w:rsidRPr="003A22E3">
        <w:rPr>
          <w:rFonts w:ascii="Arial" w:hAnsi="Arial" w:cs="Arial"/>
          <w:sz w:val="24"/>
          <w:szCs w:val="24"/>
        </w:rPr>
        <w:t>Laboratorio Microbiología Hospital San Juan de Dios.</w:t>
      </w:r>
    </w:p>
    <w:p w:rsidR="003A22E3" w:rsidRPr="003A22E3" w:rsidRDefault="003A22E3" w:rsidP="003A22E3">
      <w:pPr>
        <w:spacing w:after="0"/>
        <w:rPr>
          <w:rFonts w:ascii="Arial" w:hAnsi="Arial" w:cs="Arial"/>
          <w:sz w:val="24"/>
          <w:szCs w:val="24"/>
        </w:rPr>
      </w:pPr>
    </w:p>
    <w:p w:rsidR="00FC6FD6" w:rsidRPr="003A22E3" w:rsidRDefault="00386C7B" w:rsidP="003A22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22E3">
        <w:rPr>
          <w:rFonts w:ascii="Arial" w:hAnsi="Arial" w:cs="Arial"/>
          <w:b/>
          <w:sz w:val="24"/>
          <w:szCs w:val="24"/>
        </w:rPr>
        <w:t>Introducción</w:t>
      </w:r>
      <w:r w:rsidRPr="003A22E3">
        <w:rPr>
          <w:rFonts w:ascii="Arial" w:hAnsi="Arial" w:cs="Arial"/>
          <w:sz w:val="24"/>
          <w:szCs w:val="24"/>
        </w:rPr>
        <w:t>: La infección urinaria (ITU) es una las patologías más frecuentes en la atención primaria y muchas veces lidera la prescripción de antimicrobianos. Considerando el problema actual de la resistencia bacteriana a nivel global, mejorar la prescripción de antimicrobianos es una forma de limitar la resistencia antimicrobiana.</w:t>
      </w:r>
      <w:r w:rsidR="00FC6FD6" w:rsidRPr="003A22E3">
        <w:rPr>
          <w:rFonts w:ascii="Arial" w:hAnsi="Arial" w:cs="Arial"/>
          <w:sz w:val="24"/>
          <w:szCs w:val="24"/>
        </w:rPr>
        <w:t xml:space="preserve"> El objetivo del estudio es describir la susceptibilidad antimicrobiana (AM) de los urocultivos comunitarios entre los años 2017 y 2018 en el Servicio de Salud Metropolitano Occidente (</w:t>
      </w:r>
      <w:proofErr w:type="spellStart"/>
      <w:r w:rsidR="00FC6FD6" w:rsidRPr="003A22E3">
        <w:rPr>
          <w:rFonts w:ascii="Arial" w:hAnsi="Arial" w:cs="Arial"/>
          <w:sz w:val="24"/>
          <w:szCs w:val="24"/>
        </w:rPr>
        <w:t>SSMOcc</w:t>
      </w:r>
      <w:proofErr w:type="spellEnd"/>
      <w:r w:rsidR="00FC6FD6" w:rsidRPr="003A22E3">
        <w:rPr>
          <w:rFonts w:ascii="Arial" w:hAnsi="Arial" w:cs="Arial"/>
          <w:sz w:val="24"/>
          <w:szCs w:val="24"/>
        </w:rPr>
        <w:t>)</w:t>
      </w:r>
    </w:p>
    <w:p w:rsidR="00FC6FD6" w:rsidRPr="003A22E3" w:rsidRDefault="00FC6FD6" w:rsidP="00386C7B">
      <w:pPr>
        <w:jc w:val="both"/>
        <w:rPr>
          <w:rFonts w:ascii="Arial" w:hAnsi="Arial" w:cs="Arial"/>
          <w:sz w:val="24"/>
          <w:szCs w:val="24"/>
        </w:rPr>
      </w:pPr>
      <w:r w:rsidRPr="003A22E3">
        <w:rPr>
          <w:rFonts w:ascii="Arial" w:hAnsi="Arial" w:cs="Arial"/>
          <w:b/>
          <w:sz w:val="24"/>
          <w:szCs w:val="24"/>
        </w:rPr>
        <w:t>Metodología</w:t>
      </w:r>
      <w:r w:rsidRPr="003A22E3">
        <w:rPr>
          <w:rFonts w:ascii="Arial" w:hAnsi="Arial" w:cs="Arial"/>
          <w:sz w:val="24"/>
          <w:szCs w:val="24"/>
        </w:rPr>
        <w:t xml:space="preserve">: Análisis retrospectivo de la susceptibilidad antimicrobiana de </w:t>
      </w:r>
      <w:r w:rsidRPr="003A22E3">
        <w:rPr>
          <w:rFonts w:ascii="Arial" w:hAnsi="Arial" w:cs="Arial"/>
          <w:i/>
          <w:sz w:val="24"/>
          <w:szCs w:val="24"/>
        </w:rPr>
        <w:t>Escherichia coli</w:t>
      </w:r>
      <w:r w:rsidRPr="003A22E3">
        <w:rPr>
          <w:rFonts w:ascii="Arial" w:hAnsi="Arial" w:cs="Arial"/>
          <w:sz w:val="24"/>
          <w:szCs w:val="24"/>
        </w:rPr>
        <w:t xml:space="preserve"> en los urocultivos ambulatorios recibidos en el Laboratorio Clínico HSJD durante los años 2017 y 2018 provenientes del Hospital de </w:t>
      </w:r>
      <w:proofErr w:type="spellStart"/>
      <w:r w:rsidRPr="003A22E3">
        <w:rPr>
          <w:rFonts w:ascii="Arial" w:hAnsi="Arial" w:cs="Arial"/>
          <w:sz w:val="24"/>
          <w:szCs w:val="24"/>
        </w:rPr>
        <w:t>Curacaví</w:t>
      </w:r>
      <w:proofErr w:type="spellEnd"/>
      <w:r w:rsidRPr="003A22E3">
        <w:rPr>
          <w:rFonts w:ascii="Arial" w:hAnsi="Arial" w:cs="Arial"/>
          <w:sz w:val="24"/>
          <w:szCs w:val="24"/>
        </w:rPr>
        <w:t xml:space="preserve"> y Consultorio Andes.</w:t>
      </w:r>
    </w:p>
    <w:p w:rsidR="00FC6FD6" w:rsidRPr="003A22E3" w:rsidRDefault="002F6AAD" w:rsidP="00386C7B">
      <w:pPr>
        <w:jc w:val="both"/>
        <w:rPr>
          <w:rFonts w:ascii="Arial" w:hAnsi="Arial" w:cs="Arial"/>
          <w:sz w:val="24"/>
          <w:szCs w:val="24"/>
        </w:rPr>
      </w:pPr>
      <w:r w:rsidRPr="003A22E3">
        <w:rPr>
          <w:rFonts w:ascii="Arial" w:hAnsi="Arial" w:cs="Arial"/>
          <w:b/>
          <w:sz w:val="24"/>
          <w:szCs w:val="24"/>
        </w:rPr>
        <w:t>Resultados:</w:t>
      </w:r>
      <w:r w:rsidR="00BD79A4" w:rsidRPr="003A22E3">
        <w:rPr>
          <w:rFonts w:ascii="Arial" w:hAnsi="Arial" w:cs="Arial"/>
          <w:b/>
          <w:sz w:val="24"/>
          <w:szCs w:val="24"/>
        </w:rPr>
        <w:t xml:space="preserve"> </w:t>
      </w:r>
      <w:r w:rsidR="00BD79A4" w:rsidRPr="003A22E3">
        <w:rPr>
          <w:rFonts w:ascii="Arial" w:hAnsi="Arial" w:cs="Arial"/>
          <w:sz w:val="24"/>
          <w:szCs w:val="24"/>
        </w:rPr>
        <w:t>Se aislaron un total de</w:t>
      </w:r>
      <w:r w:rsidR="001A08B1" w:rsidRPr="003A22E3">
        <w:rPr>
          <w:rFonts w:ascii="Arial" w:hAnsi="Arial" w:cs="Arial"/>
          <w:sz w:val="24"/>
          <w:szCs w:val="24"/>
        </w:rPr>
        <w:t xml:space="preserve"> 1064 cepas de </w:t>
      </w:r>
      <w:r w:rsidR="001A08B1" w:rsidRPr="003A22E3">
        <w:rPr>
          <w:rFonts w:ascii="Arial" w:hAnsi="Arial" w:cs="Arial"/>
          <w:i/>
          <w:sz w:val="24"/>
          <w:szCs w:val="24"/>
        </w:rPr>
        <w:t>E. coli</w:t>
      </w:r>
      <w:r w:rsidR="001A08B1" w:rsidRPr="003A22E3">
        <w:rPr>
          <w:rFonts w:ascii="Arial" w:hAnsi="Arial" w:cs="Arial"/>
          <w:sz w:val="24"/>
          <w:szCs w:val="24"/>
        </w:rPr>
        <w:t xml:space="preserve"> en urocultivos (</w:t>
      </w:r>
      <w:r w:rsidR="00BD79A4" w:rsidRPr="003A22E3">
        <w:rPr>
          <w:rFonts w:ascii="Arial" w:hAnsi="Arial" w:cs="Arial"/>
          <w:sz w:val="24"/>
          <w:szCs w:val="24"/>
        </w:rPr>
        <w:t xml:space="preserve">1014 </w:t>
      </w:r>
      <w:r w:rsidR="001A08B1" w:rsidRPr="003A22E3">
        <w:rPr>
          <w:rFonts w:ascii="Arial" w:hAnsi="Arial" w:cs="Arial"/>
          <w:sz w:val="24"/>
          <w:szCs w:val="24"/>
        </w:rPr>
        <w:t xml:space="preserve">en pacientes adultos y </w:t>
      </w:r>
      <w:r w:rsidR="00BD79A4" w:rsidRPr="003A22E3">
        <w:rPr>
          <w:rFonts w:ascii="Arial" w:hAnsi="Arial" w:cs="Arial"/>
          <w:sz w:val="24"/>
          <w:szCs w:val="24"/>
        </w:rPr>
        <w:t xml:space="preserve">50 </w:t>
      </w:r>
      <w:r w:rsidR="001A08B1" w:rsidRPr="003A22E3">
        <w:rPr>
          <w:rFonts w:ascii="Arial" w:hAnsi="Arial" w:cs="Arial"/>
          <w:sz w:val="24"/>
          <w:szCs w:val="24"/>
        </w:rPr>
        <w:t>en</w:t>
      </w:r>
      <w:r w:rsidR="00BD79A4" w:rsidRPr="003A22E3">
        <w:rPr>
          <w:rFonts w:ascii="Arial" w:hAnsi="Arial" w:cs="Arial"/>
          <w:sz w:val="24"/>
          <w:szCs w:val="24"/>
        </w:rPr>
        <w:t xml:space="preserve"> </w:t>
      </w:r>
      <w:r w:rsidR="001A08B1" w:rsidRPr="003A22E3">
        <w:rPr>
          <w:rFonts w:ascii="Arial" w:hAnsi="Arial" w:cs="Arial"/>
          <w:sz w:val="24"/>
          <w:szCs w:val="24"/>
        </w:rPr>
        <w:t>pacientes pediátricos)</w:t>
      </w:r>
      <w:r w:rsidR="00BD79A4" w:rsidRPr="003A22E3">
        <w:rPr>
          <w:rFonts w:ascii="Arial" w:hAnsi="Arial" w:cs="Arial"/>
          <w:sz w:val="24"/>
          <w:szCs w:val="24"/>
        </w:rPr>
        <w:t xml:space="preserve">. En adultos la susceptibilidad a </w:t>
      </w:r>
      <w:proofErr w:type="spellStart"/>
      <w:r w:rsidR="00BD79A4" w:rsidRPr="003A22E3">
        <w:rPr>
          <w:rFonts w:ascii="Arial" w:hAnsi="Arial" w:cs="Arial"/>
          <w:sz w:val="24"/>
          <w:szCs w:val="24"/>
        </w:rPr>
        <w:t>cefadroxilo</w:t>
      </w:r>
      <w:proofErr w:type="spellEnd"/>
      <w:r w:rsidR="00BD79A4" w:rsidRPr="003A22E3">
        <w:rPr>
          <w:rFonts w:ascii="Arial" w:hAnsi="Arial" w:cs="Arial"/>
          <w:sz w:val="24"/>
          <w:szCs w:val="24"/>
        </w:rPr>
        <w:t xml:space="preserve"> fue de 89%, </w:t>
      </w:r>
      <w:proofErr w:type="spellStart"/>
      <w:r w:rsidR="00BD79A4" w:rsidRPr="003A22E3">
        <w:rPr>
          <w:rFonts w:ascii="Arial" w:hAnsi="Arial" w:cs="Arial"/>
          <w:sz w:val="24"/>
          <w:szCs w:val="24"/>
        </w:rPr>
        <w:t>cefotaxima</w:t>
      </w:r>
      <w:proofErr w:type="spellEnd"/>
      <w:r w:rsidR="00BD79A4" w:rsidRPr="003A22E3">
        <w:rPr>
          <w:rFonts w:ascii="Arial" w:hAnsi="Arial" w:cs="Arial"/>
          <w:sz w:val="24"/>
          <w:szCs w:val="24"/>
        </w:rPr>
        <w:t xml:space="preserve"> 91%, </w:t>
      </w:r>
      <w:proofErr w:type="spellStart"/>
      <w:r w:rsidR="00BD79A4" w:rsidRPr="003A22E3">
        <w:rPr>
          <w:rFonts w:ascii="Arial" w:hAnsi="Arial" w:cs="Arial"/>
          <w:sz w:val="24"/>
          <w:szCs w:val="24"/>
        </w:rPr>
        <w:t>ciprofloxacino</w:t>
      </w:r>
      <w:proofErr w:type="spellEnd"/>
      <w:r w:rsidR="00BD79A4" w:rsidRPr="003A22E3">
        <w:rPr>
          <w:rFonts w:ascii="Arial" w:hAnsi="Arial" w:cs="Arial"/>
          <w:sz w:val="24"/>
          <w:szCs w:val="24"/>
        </w:rPr>
        <w:t xml:space="preserve"> 66%, </w:t>
      </w:r>
      <w:proofErr w:type="spellStart"/>
      <w:r w:rsidR="00BD79A4" w:rsidRPr="003A22E3">
        <w:rPr>
          <w:rFonts w:ascii="Arial" w:hAnsi="Arial" w:cs="Arial"/>
          <w:sz w:val="24"/>
          <w:szCs w:val="24"/>
        </w:rPr>
        <w:t>cotrimoxazol</w:t>
      </w:r>
      <w:proofErr w:type="spellEnd"/>
      <w:r w:rsidR="00BD79A4" w:rsidRPr="003A22E3">
        <w:rPr>
          <w:rFonts w:ascii="Arial" w:hAnsi="Arial" w:cs="Arial"/>
          <w:sz w:val="24"/>
          <w:szCs w:val="24"/>
        </w:rPr>
        <w:t xml:space="preserve"> 71%, </w:t>
      </w:r>
      <w:proofErr w:type="spellStart"/>
      <w:r w:rsidR="00BD79A4" w:rsidRPr="003A22E3">
        <w:rPr>
          <w:rFonts w:ascii="Arial" w:hAnsi="Arial" w:cs="Arial"/>
          <w:sz w:val="24"/>
          <w:szCs w:val="24"/>
        </w:rPr>
        <w:t>nitrofurantoína</w:t>
      </w:r>
      <w:proofErr w:type="spellEnd"/>
      <w:r w:rsidR="00BD79A4" w:rsidRPr="003A22E3">
        <w:rPr>
          <w:rFonts w:ascii="Arial" w:hAnsi="Arial" w:cs="Arial"/>
          <w:sz w:val="24"/>
          <w:szCs w:val="24"/>
        </w:rPr>
        <w:t xml:space="preserve"> 89% y </w:t>
      </w:r>
      <w:proofErr w:type="spellStart"/>
      <w:r w:rsidR="00BD79A4" w:rsidRPr="003A22E3">
        <w:rPr>
          <w:rFonts w:ascii="Arial" w:hAnsi="Arial" w:cs="Arial"/>
          <w:sz w:val="24"/>
          <w:szCs w:val="24"/>
        </w:rPr>
        <w:t>fosfomicina</w:t>
      </w:r>
      <w:proofErr w:type="spellEnd"/>
      <w:r w:rsidR="00BD79A4" w:rsidRPr="003A22E3">
        <w:rPr>
          <w:rFonts w:ascii="Arial" w:hAnsi="Arial" w:cs="Arial"/>
          <w:sz w:val="24"/>
          <w:szCs w:val="24"/>
        </w:rPr>
        <w:t xml:space="preserve"> 99%.</w:t>
      </w:r>
      <w:r w:rsidR="00E65933" w:rsidRPr="003A22E3">
        <w:rPr>
          <w:rFonts w:ascii="Arial" w:hAnsi="Arial" w:cs="Arial"/>
          <w:sz w:val="24"/>
          <w:szCs w:val="24"/>
        </w:rPr>
        <w:t xml:space="preserve"> En </w:t>
      </w:r>
      <w:r w:rsidR="00C4245B" w:rsidRPr="003A22E3">
        <w:rPr>
          <w:rFonts w:ascii="Arial" w:hAnsi="Arial" w:cs="Arial"/>
          <w:sz w:val="24"/>
          <w:szCs w:val="24"/>
        </w:rPr>
        <w:t xml:space="preserve">niños </w:t>
      </w:r>
      <w:r w:rsidR="00E65933" w:rsidRPr="003A22E3">
        <w:rPr>
          <w:rFonts w:ascii="Arial" w:hAnsi="Arial" w:cs="Arial"/>
          <w:sz w:val="24"/>
          <w:szCs w:val="24"/>
        </w:rPr>
        <w:t xml:space="preserve">la susceptibilidad a </w:t>
      </w:r>
      <w:proofErr w:type="spellStart"/>
      <w:r w:rsidR="00E65933" w:rsidRPr="003A22E3">
        <w:rPr>
          <w:rFonts w:ascii="Arial" w:hAnsi="Arial" w:cs="Arial"/>
          <w:sz w:val="24"/>
          <w:szCs w:val="24"/>
        </w:rPr>
        <w:t>cefadroxilo</w:t>
      </w:r>
      <w:proofErr w:type="spellEnd"/>
      <w:r w:rsidR="00E65933" w:rsidRPr="003A22E3">
        <w:rPr>
          <w:rFonts w:ascii="Arial" w:hAnsi="Arial" w:cs="Arial"/>
          <w:sz w:val="24"/>
          <w:szCs w:val="24"/>
        </w:rPr>
        <w:t xml:space="preserve"> fue de </w:t>
      </w:r>
      <w:r w:rsidR="00C4245B" w:rsidRPr="003A22E3">
        <w:rPr>
          <w:rFonts w:ascii="Arial" w:hAnsi="Arial" w:cs="Arial"/>
          <w:sz w:val="24"/>
          <w:szCs w:val="24"/>
        </w:rPr>
        <w:t>95</w:t>
      </w:r>
      <w:r w:rsidR="00E65933" w:rsidRPr="003A22E3">
        <w:rPr>
          <w:rFonts w:ascii="Arial" w:hAnsi="Arial" w:cs="Arial"/>
          <w:sz w:val="24"/>
          <w:szCs w:val="24"/>
        </w:rPr>
        <w:t xml:space="preserve">%, </w:t>
      </w:r>
      <w:proofErr w:type="spellStart"/>
      <w:r w:rsidR="00E65933" w:rsidRPr="003A22E3">
        <w:rPr>
          <w:rFonts w:ascii="Arial" w:hAnsi="Arial" w:cs="Arial"/>
          <w:sz w:val="24"/>
          <w:szCs w:val="24"/>
        </w:rPr>
        <w:t>cefotaxima</w:t>
      </w:r>
      <w:proofErr w:type="spellEnd"/>
      <w:r w:rsidR="00E65933" w:rsidRPr="003A22E3">
        <w:rPr>
          <w:rFonts w:ascii="Arial" w:hAnsi="Arial" w:cs="Arial"/>
          <w:sz w:val="24"/>
          <w:szCs w:val="24"/>
        </w:rPr>
        <w:t xml:space="preserve"> 9</w:t>
      </w:r>
      <w:r w:rsidR="00C4245B" w:rsidRPr="003A22E3">
        <w:rPr>
          <w:rFonts w:ascii="Arial" w:hAnsi="Arial" w:cs="Arial"/>
          <w:sz w:val="24"/>
          <w:szCs w:val="24"/>
        </w:rPr>
        <w:t>6</w:t>
      </w:r>
      <w:r w:rsidR="00E65933" w:rsidRPr="003A22E3">
        <w:rPr>
          <w:rFonts w:ascii="Arial" w:hAnsi="Arial" w:cs="Arial"/>
          <w:sz w:val="24"/>
          <w:szCs w:val="24"/>
        </w:rPr>
        <w:t xml:space="preserve">%, </w:t>
      </w:r>
      <w:proofErr w:type="spellStart"/>
      <w:r w:rsidR="00E65933" w:rsidRPr="003A22E3">
        <w:rPr>
          <w:rFonts w:ascii="Arial" w:hAnsi="Arial" w:cs="Arial"/>
          <w:sz w:val="24"/>
          <w:szCs w:val="24"/>
        </w:rPr>
        <w:t>ciprofloxacino</w:t>
      </w:r>
      <w:proofErr w:type="spellEnd"/>
      <w:r w:rsidR="00E65933" w:rsidRPr="003A22E3">
        <w:rPr>
          <w:rFonts w:ascii="Arial" w:hAnsi="Arial" w:cs="Arial"/>
          <w:sz w:val="24"/>
          <w:szCs w:val="24"/>
        </w:rPr>
        <w:t xml:space="preserve"> </w:t>
      </w:r>
      <w:r w:rsidR="00C4245B" w:rsidRPr="003A22E3">
        <w:rPr>
          <w:rFonts w:ascii="Arial" w:hAnsi="Arial" w:cs="Arial"/>
          <w:sz w:val="24"/>
          <w:szCs w:val="24"/>
        </w:rPr>
        <w:t>88</w:t>
      </w:r>
      <w:r w:rsidR="00E65933" w:rsidRPr="003A22E3">
        <w:rPr>
          <w:rFonts w:ascii="Arial" w:hAnsi="Arial" w:cs="Arial"/>
          <w:sz w:val="24"/>
          <w:szCs w:val="24"/>
        </w:rPr>
        <w:t xml:space="preserve">%, </w:t>
      </w:r>
      <w:proofErr w:type="spellStart"/>
      <w:r w:rsidR="00E65933" w:rsidRPr="003A22E3">
        <w:rPr>
          <w:rFonts w:ascii="Arial" w:hAnsi="Arial" w:cs="Arial"/>
          <w:sz w:val="24"/>
          <w:szCs w:val="24"/>
        </w:rPr>
        <w:t>cotrimoxazol</w:t>
      </w:r>
      <w:proofErr w:type="spellEnd"/>
      <w:r w:rsidR="00E65933" w:rsidRPr="003A22E3">
        <w:rPr>
          <w:rFonts w:ascii="Arial" w:hAnsi="Arial" w:cs="Arial"/>
          <w:sz w:val="24"/>
          <w:szCs w:val="24"/>
        </w:rPr>
        <w:t xml:space="preserve"> 7</w:t>
      </w:r>
      <w:r w:rsidR="00C4245B" w:rsidRPr="003A22E3">
        <w:rPr>
          <w:rFonts w:ascii="Arial" w:hAnsi="Arial" w:cs="Arial"/>
          <w:sz w:val="24"/>
          <w:szCs w:val="24"/>
        </w:rPr>
        <w:t>0</w:t>
      </w:r>
      <w:r w:rsidR="00E65933" w:rsidRPr="003A22E3">
        <w:rPr>
          <w:rFonts w:ascii="Arial" w:hAnsi="Arial" w:cs="Arial"/>
          <w:sz w:val="24"/>
          <w:szCs w:val="24"/>
        </w:rPr>
        <w:t xml:space="preserve">%, </w:t>
      </w:r>
      <w:proofErr w:type="spellStart"/>
      <w:r w:rsidR="00E65933" w:rsidRPr="003A22E3">
        <w:rPr>
          <w:rFonts w:ascii="Arial" w:hAnsi="Arial" w:cs="Arial"/>
          <w:sz w:val="24"/>
          <w:szCs w:val="24"/>
        </w:rPr>
        <w:t>nitrofurantoína</w:t>
      </w:r>
      <w:proofErr w:type="spellEnd"/>
      <w:r w:rsidR="00E65933" w:rsidRPr="003A22E3">
        <w:rPr>
          <w:rFonts w:ascii="Arial" w:hAnsi="Arial" w:cs="Arial"/>
          <w:sz w:val="24"/>
          <w:szCs w:val="24"/>
        </w:rPr>
        <w:t xml:space="preserve"> 89% y </w:t>
      </w:r>
      <w:proofErr w:type="spellStart"/>
      <w:r w:rsidR="00E65933" w:rsidRPr="003A22E3">
        <w:rPr>
          <w:rFonts w:ascii="Arial" w:hAnsi="Arial" w:cs="Arial"/>
          <w:sz w:val="24"/>
          <w:szCs w:val="24"/>
        </w:rPr>
        <w:t>fosfomicina</w:t>
      </w:r>
      <w:proofErr w:type="spellEnd"/>
      <w:r w:rsidR="00E65933" w:rsidRPr="003A22E3">
        <w:rPr>
          <w:rFonts w:ascii="Arial" w:hAnsi="Arial" w:cs="Arial"/>
          <w:sz w:val="24"/>
          <w:szCs w:val="24"/>
        </w:rPr>
        <w:t xml:space="preserve"> </w:t>
      </w:r>
      <w:r w:rsidR="00C4245B" w:rsidRPr="003A22E3">
        <w:rPr>
          <w:rFonts w:ascii="Arial" w:hAnsi="Arial" w:cs="Arial"/>
          <w:sz w:val="24"/>
          <w:szCs w:val="24"/>
        </w:rPr>
        <w:t>100</w:t>
      </w:r>
      <w:r w:rsidR="00E65933" w:rsidRPr="003A22E3">
        <w:rPr>
          <w:rFonts w:ascii="Arial" w:hAnsi="Arial" w:cs="Arial"/>
          <w:sz w:val="24"/>
          <w:szCs w:val="24"/>
        </w:rPr>
        <w:t>%.</w:t>
      </w:r>
    </w:p>
    <w:p w:rsidR="00EA0C89" w:rsidRPr="003A22E3" w:rsidRDefault="00C4245B" w:rsidP="00EA0C89">
      <w:pPr>
        <w:jc w:val="both"/>
        <w:rPr>
          <w:rFonts w:ascii="Arial" w:hAnsi="Arial" w:cs="Arial"/>
          <w:sz w:val="24"/>
          <w:szCs w:val="24"/>
        </w:rPr>
      </w:pPr>
      <w:r w:rsidRPr="003A22E3">
        <w:rPr>
          <w:rFonts w:ascii="Arial" w:hAnsi="Arial" w:cs="Arial"/>
          <w:b/>
          <w:sz w:val="24"/>
          <w:szCs w:val="24"/>
        </w:rPr>
        <w:t xml:space="preserve">Conclusiones: </w:t>
      </w:r>
      <w:r w:rsidR="001A08B1" w:rsidRPr="003A22E3">
        <w:rPr>
          <w:rFonts w:ascii="Arial" w:hAnsi="Arial" w:cs="Arial"/>
          <w:sz w:val="24"/>
          <w:szCs w:val="24"/>
        </w:rPr>
        <w:t xml:space="preserve">Existe una alta sensibilidad de </w:t>
      </w:r>
      <w:r w:rsidR="001A08B1" w:rsidRPr="003A22E3">
        <w:rPr>
          <w:rFonts w:ascii="Arial" w:hAnsi="Arial" w:cs="Arial"/>
          <w:i/>
          <w:sz w:val="24"/>
          <w:szCs w:val="24"/>
        </w:rPr>
        <w:t xml:space="preserve">E. </w:t>
      </w:r>
      <w:proofErr w:type="spellStart"/>
      <w:r w:rsidR="001A08B1" w:rsidRPr="003A22E3">
        <w:rPr>
          <w:rFonts w:ascii="Arial" w:hAnsi="Arial" w:cs="Arial"/>
          <w:i/>
          <w:sz w:val="24"/>
          <w:szCs w:val="24"/>
        </w:rPr>
        <w:t>coli</w:t>
      </w:r>
      <w:proofErr w:type="spellEnd"/>
      <w:r w:rsidR="001A08B1" w:rsidRPr="003A22E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A08B1" w:rsidRPr="003A22E3">
        <w:rPr>
          <w:rFonts w:ascii="Arial" w:hAnsi="Arial" w:cs="Arial"/>
          <w:sz w:val="24"/>
          <w:szCs w:val="24"/>
        </w:rPr>
        <w:t>nitrofurantoína</w:t>
      </w:r>
      <w:proofErr w:type="spellEnd"/>
      <w:r w:rsidR="001A08B1" w:rsidRPr="003A22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A08B1" w:rsidRPr="003A22E3">
        <w:rPr>
          <w:rFonts w:ascii="Arial" w:hAnsi="Arial" w:cs="Arial"/>
          <w:sz w:val="24"/>
          <w:szCs w:val="24"/>
        </w:rPr>
        <w:t>fosfomicina</w:t>
      </w:r>
      <w:proofErr w:type="spellEnd"/>
      <w:r w:rsidR="001A08B1" w:rsidRPr="003A22E3">
        <w:rPr>
          <w:rFonts w:ascii="Arial" w:hAnsi="Arial" w:cs="Arial"/>
          <w:sz w:val="24"/>
          <w:szCs w:val="24"/>
        </w:rPr>
        <w:t xml:space="preserve"> y cefalosporinas en pacientes adultos y pediátricos y </w:t>
      </w:r>
      <w:r w:rsidR="00EA0C89" w:rsidRPr="003A22E3">
        <w:rPr>
          <w:rFonts w:ascii="Arial" w:hAnsi="Arial" w:cs="Arial"/>
          <w:sz w:val="24"/>
          <w:szCs w:val="24"/>
        </w:rPr>
        <w:t xml:space="preserve">una </w:t>
      </w:r>
      <w:r w:rsidR="000A77E4" w:rsidRPr="003A22E3">
        <w:rPr>
          <w:rFonts w:ascii="Arial" w:hAnsi="Arial" w:cs="Arial"/>
          <w:sz w:val="24"/>
          <w:szCs w:val="24"/>
        </w:rPr>
        <w:t xml:space="preserve">tasa de </w:t>
      </w:r>
      <w:r w:rsidR="00EA0C89" w:rsidRPr="003A22E3">
        <w:rPr>
          <w:rFonts w:ascii="Arial" w:hAnsi="Arial" w:cs="Arial"/>
          <w:sz w:val="24"/>
          <w:szCs w:val="24"/>
        </w:rPr>
        <w:t>resistencia</w:t>
      </w:r>
      <w:r w:rsidR="001A08B1" w:rsidRPr="003A22E3">
        <w:rPr>
          <w:rFonts w:ascii="Arial" w:hAnsi="Arial" w:cs="Arial"/>
          <w:sz w:val="24"/>
          <w:szCs w:val="24"/>
        </w:rPr>
        <w:t xml:space="preserve"> elevada </w:t>
      </w:r>
      <w:r w:rsidR="00EA0C89" w:rsidRPr="003A22E3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EA0C89" w:rsidRPr="003A22E3">
        <w:rPr>
          <w:rFonts w:ascii="Arial" w:hAnsi="Arial" w:cs="Arial"/>
          <w:sz w:val="24"/>
          <w:szCs w:val="24"/>
        </w:rPr>
        <w:t>ciprofloxacino</w:t>
      </w:r>
      <w:proofErr w:type="spellEnd"/>
      <w:r w:rsidR="00EA0C89" w:rsidRPr="003A22E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A0C89" w:rsidRPr="003A22E3">
        <w:rPr>
          <w:rFonts w:ascii="Arial" w:hAnsi="Arial" w:cs="Arial"/>
          <w:sz w:val="24"/>
          <w:szCs w:val="24"/>
        </w:rPr>
        <w:t>cotrimoxazol</w:t>
      </w:r>
      <w:proofErr w:type="spellEnd"/>
      <w:r w:rsidR="001A08B1" w:rsidRPr="003A22E3">
        <w:rPr>
          <w:rFonts w:ascii="Arial" w:hAnsi="Arial" w:cs="Arial"/>
          <w:sz w:val="24"/>
          <w:szCs w:val="24"/>
        </w:rPr>
        <w:t>.</w:t>
      </w:r>
      <w:r w:rsidR="001554D6" w:rsidRPr="003A22E3">
        <w:rPr>
          <w:rFonts w:ascii="Arial" w:hAnsi="Arial" w:cs="Arial"/>
          <w:sz w:val="24"/>
          <w:szCs w:val="24"/>
        </w:rPr>
        <w:t xml:space="preserve"> Consi</w:t>
      </w:r>
      <w:bookmarkStart w:id="0" w:name="_GoBack"/>
      <w:bookmarkEnd w:id="0"/>
      <w:r w:rsidR="001554D6" w:rsidRPr="003A22E3">
        <w:rPr>
          <w:rFonts w:ascii="Arial" w:hAnsi="Arial" w:cs="Arial"/>
          <w:sz w:val="24"/>
          <w:szCs w:val="24"/>
        </w:rPr>
        <w:t xml:space="preserve">derando que actualmente </w:t>
      </w:r>
      <w:proofErr w:type="spellStart"/>
      <w:r w:rsidR="001554D6" w:rsidRPr="003A22E3">
        <w:rPr>
          <w:rFonts w:ascii="Arial" w:hAnsi="Arial" w:cs="Arial"/>
          <w:sz w:val="24"/>
          <w:szCs w:val="24"/>
        </w:rPr>
        <w:t>fluoroquinolonas</w:t>
      </w:r>
      <w:proofErr w:type="spellEnd"/>
      <w:r w:rsidR="001554D6" w:rsidRPr="003A22E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1554D6" w:rsidRPr="003A22E3">
        <w:rPr>
          <w:rFonts w:ascii="Arial" w:hAnsi="Arial" w:cs="Arial"/>
          <w:sz w:val="24"/>
          <w:szCs w:val="24"/>
        </w:rPr>
        <w:t>cefalosporinas</w:t>
      </w:r>
      <w:proofErr w:type="spellEnd"/>
      <w:r w:rsidR="001554D6" w:rsidRPr="003A22E3">
        <w:rPr>
          <w:rFonts w:ascii="Arial" w:hAnsi="Arial" w:cs="Arial"/>
          <w:sz w:val="24"/>
          <w:szCs w:val="24"/>
        </w:rPr>
        <w:t xml:space="preserve"> no se recomiendan como terapia de primera elección dado su impacto desfavorable sobre el </w:t>
      </w:r>
      <w:proofErr w:type="spellStart"/>
      <w:r w:rsidR="001554D6" w:rsidRPr="003A22E3">
        <w:rPr>
          <w:rFonts w:ascii="Arial" w:hAnsi="Arial" w:cs="Arial"/>
          <w:sz w:val="24"/>
          <w:szCs w:val="24"/>
        </w:rPr>
        <w:t>microbioma</w:t>
      </w:r>
      <w:proofErr w:type="spellEnd"/>
      <w:r w:rsidR="001554D6" w:rsidRPr="003A22E3">
        <w:rPr>
          <w:rFonts w:ascii="Arial" w:hAnsi="Arial" w:cs="Arial"/>
          <w:sz w:val="24"/>
          <w:szCs w:val="24"/>
        </w:rPr>
        <w:t xml:space="preserve"> y la emergencia de resistencia; </w:t>
      </w:r>
      <w:r w:rsidR="00EA0C89" w:rsidRPr="003A22E3">
        <w:rPr>
          <w:rFonts w:ascii="Arial" w:hAnsi="Arial" w:cs="Arial"/>
          <w:sz w:val="24"/>
          <w:szCs w:val="24"/>
        </w:rPr>
        <w:t xml:space="preserve">el tratamiento empírico </w:t>
      </w:r>
      <w:r w:rsidR="001554D6" w:rsidRPr="003A22E3">
        <w:rPr>
          <w:rFonts w:ascii="Arial" w:hAnsi="Arial" w:cs="Arial"/>
          <w:sz w:val="24"/>
          <w:szCs w:val="24"/>
        </w:rPr>
        <w:t>más apropiado para</w:t>
      </w:r>
      <w:r w:rsidR="00EA0C89" w:rsidRPr="003A22E3">
        <w:rPr>
          <w:rFonts w:ascii="Arial" w:hAnsi="Arial" w:cs="Arial"/>
          <w:sz w:val="24"/>
          <w:szCs w:val="24"/>
        </w:rPr>
        <w:t xml:space="preserve"> una ITU baja no complicada </w:t>
      </w:r>
      <w:r w:rsidR="001554D6" w:rsidRPr="003A22E3">
        <w:rPr>
          <w:rFonts w:ascii="Arial" w:hAnsi="Arial" w:cs="Arial"/>
          <w:sz w:val="24"/>
          <w:szCs w:val="24"/>
        </w:rPr>
        <w:t>en nuestra población ambulatoria</w:t>
      </w:r>
      <w:r w:rsidR="00EA0C89" w:rsidRPr="003A22E3">
        <w:rPr>
          <w:rFonts w:ascii="Arial" w:hAnsi="Arial" w:cs="Arial"/>
          <w:sz w:val="24"/>
          <w:szCs w:val="24"/>
        </w:rPr>
        <w:t xml:space="preserve"> s</w:t>
      </w:r>
      <w:r w:rsidR="000A77E4" w:rsidRPr="003A22E3">
        <w:rPr>
          <w:rFonts w:ascii="Arial" w:hAnsi="Arial" w:cs="Arial"/>
          <w:sz w:val="24"/>
          <w:szCs w:val="24"/>
        </w:rPr>
        <w:t xml:space="preserve">ería </w:t>
      </w:r>
      <w:proofErr w:type="spellStart"/>
      <w:r w:rsidR="00EA0C89" w:rsidRPr="003A22E3">
        <w:rPr>
          <w:rFonts w:ascii="Arial" w:hAnsi="Arial" w:cs="Arial"/>
          <w:sz w:val="24"/>
          <w:szCs w:val="24"/>
        </w:rPr>
        <w:t>nitrofurantoína</w:t>
      </w:r>
      <w:proofErr w:type="spellEnd"/>
      <w:r w:rsidR="00EA0C89" w:rsidRPr="003A22E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A0C89" w:rsidRPr="003A22E3">
        <w:rPr>
          <w:rFonts w:ascii="Arial" w:hAnsi="Arial" w:cs="Arial"/>
          <w:sz w:val="24"/>
          <w:szCs w:val="24"/>
        </w:rPr>
        <w:t>fosfomicina</w:t>
      </w:r>
      <w:proofErr w:type="spellEnd"/>
      <w:r w:rsidR="00EA0C89" w:rsidRPr="003A22E3">
        <w:rPr>
          <w:rFonts w:ascii="Arial" w:hAnsi="Arial" w:cs="Arial"/>
          <w:sz w:val="24"/>
          <w:szCs w:val="24"/>
        </w:rPr>
        <w:t>.</w:t>
      </w:r>
    </w:p>
    <w:p w:rsidR="00386C7B" w:rsidRPr="003A22E3" w:rsidRDefault="00EA0C89" w:rsidP="00386C7B">
      <w:pPr>
        <w:rPr>
          <w:rFonts w:ascii="Arial" w:hAnsi="Arial" w:cs="Arial"/>
          <w:sz w:val="24"/>
          <w:szCs w:val="24"/>
        </w:rPr>
      </w:pPr>
      <w:r w:rsidRPr="003A22E3">
        <w:rPr>
          <w:rFonts w:ascii="Arial" w:hAnsi="Arial" w:cs="Arial"/>
          <w:sz w:val="24"/>
          <w:szCs w:val="24"/>
        </w:rPr>
        <w:t xml:space="preserve"> </w:t>
      </w:r>
    </w:p>
    <w:p w:rsidR="00386C7B" w:rsidRPr="003A22E3" w:rsidRDefault="00386C7B" w:rsidP="00386C7B">
      <w:pPr>
        <w:rPr>
          <w:rFonts w:ascii="Arial" w:hAnsi="Arial" w:cs="Arial"/>
          <w:sz w:val="24"/>
          <w:szCs w:val="24"/>
        </w:rPr>
      </w:pPr>
    </w:p>
    <w:sectPr w:rsidR="00386C7B" w:rsidRPr="003A22E3" w:rsidSect="008529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386C7B"/>
    <w:rsid w:val="000A77E4"/>
    <w:rsid w:val="001554D6"/>
    <w:rsid w:val="001A08B1"/>
    <w:rsid w:val="002F6AAD"/>
    <w:rsid w:val="00386C7B"/>
    <w:rsid w:val="003A22E3"/>
    <w:rsid w:val="003D50BC"/>
    <w:rsid w:val="00400DD6"/>
    <w:rsid w:val="007620A3"/>
    <w:rsid w:val="008529DB"/>
    <w:rsid w:val="00A5219B"/>
    <w:rsid w:val="00AE4218"/>
    <w:rsid w:val="00BD79A4"/>
    <w:rsid w:val="00C4245B"/>
    <w:rsid w:val="00C85C95"/>
    <w:rsid w:val="00CC2A25"/>
    <w:rsid w:val="00E65933"/>
    <w:rsid w:val="00EA0C89"/>
    <w:rsid w:val="00FC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Biomerieux</dc:creator>
  <cp:lastModifiedBy>Usuario</cp:lastModifiedBy>
  <cp:revision>3</cp:revision>
  <dcterms:created xsi:type="dcterms:W3CDTF">2019-04-30T17:53:00Z</dcterms:created>
  <dcterms:modified xsi:type="dcterms:W3CDTF">2019-05-02T13:13:00Z</dcterms:modified>
</cp:coreProperties>
</file>