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E" w:rsidRPr="0074527E" w:rsidRDefault="0074527E" w:rsidP="0074527E">
      <w:pPr>
        <w:spacing w:after="0"/>
        <w:rPr>
          <w:rFonts w:ascii="Arial" w:hAnsi="Arial" w:cs="Arial"/>
          <w:b/>
          <w:bCs/>
          <w:sz w:val="60"/>
          <w:szCs w:val="60"/>
        </w:rPr>
      </w:pPr>
      <w:bookmarkStart w:id="0" w:name="_GoBack"/>
      <w:r w:rsidRPr="0074527E">
        <w:rPr>
          <w:rFonts w:ascii="Arial" w:hAnsi="Arial" w:cs="Arial"/>
          <w:b/>
          <w:bCs/>
          <w:sz w:val="60"/>
          <w:szCs w:val="60"/>
        </w:rPr>
        <w:t>10</w:t>
      </w:r>
    </w:p>
    <w:p w:rsidR="00A751E1" w:rsidRPr="0074527E" w:rsidRDefault="004129F4" w:rsidP="0074527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74527E">
        <w:rPr>
          <w:rFonts w:ascii="Arial" w:hAnsi="Arial" w:cs="Arial"/>
          <w:b/>
          <w:bCs/>
          <w:sz w:val="24"/>
          <w:szCs w:val="24"/>
        </w:rPr>
        <w:t>SHOCK CARDIOGÉNICO, DESCRIPCIÓN DE 12 AÑOS HOSPITAL SAN JUAN DE DIOS (</w:t>
      </w:r>
      <w:r w:rsidRPr="0074527E">
        <w:rPr>
          <w:rFonts w:ascii="Arial" w:hAnsi="Arial" w:cs="Arial"/>
          <w:b/>
          <w:bCs/>
          <w:sz w:val="24"/>
          <w:szCs w:val="24"/>
          <w:lang w:val="es-ES"/>
        </w:rPr>
        <w:t>2006 – 2018)</w:t>
      </w:r>
    </w:p>
    <w:bookmarkEnd w:id="0"/>
    <w:p w:rsidR="0074527E" w:rsidRDefault="0074527E" w:rsidP="0074527E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29F4" w:rsidRPr="0074527E" w:rsidRDefault="004129F4" w:rsidP="0074527E">
      <w:pPr>
        <w:spacing w:line="240" w:lineRule="auto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Tamayo C, </w:t>
      </w:r>
      <w:proofErr w:type="spellStart"/>
      <w:r w:rsidRPr="0074527E">
        <w:rPr>
          <w:rFonts w:ascii="Arial" w:hAnsi="Arial" w:cs="Arial"/>
          <w:sz w:val="24"/>
          <w:szCs w:val="24"/>
        </w:rPr>
        <w:t>Paulsen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C, Rojas J, Sanhueza R, Solar X, Vera F, Ceballos A, </w:t>
      </w:r>
      <w:proofErr w:type="spellStart"/>
      <w:r w:rsidRPr="0074527E">
        <w:rPr>
          <w:rFonts w:ascii="Arial" w:hAnsi="Arial" w:cs="Arial"/>
          <w:sz w:val="24"/>
          <w:szCs w:val="24"/>
        </w:rPr>
        <w:t>Eitler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A, Fernández I, Puentes A, Ramírez P, </w:t>
      </w:r>
      <w:proofErr w:type="spellStart"/>
      <w:r w:rsidRPr="0074527E">
        <w:rPr>
          <w:rFonts w:ascii="Arial" w:hAnsi="Arial" w:cs="Arial"/>
          <w:sz w:val="24"/>
          <w:szCs w:val="24"/>
        </w:rPr>
        <w:t>Bellet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A, Donoso H, Vargas C,  </w:t>
      </w:r>
      <w:proofErr w:type="spellStart"/>
      <w:r w:rsidRPr="0074527E">
        <w:rPr>
          <w:rFonts w:ascii="Arial" w:hAnsi="Arial" w:cs="Arial"/>
          <w:sz w:val="24"/>
          <w:szCs w:val="24"/>
        </w:rPr>
        <w:t>Backhouse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C,  González F, Sanhueza P, Aguayo R, </w:t>
      </w:r>
      <w:proofErr w:type="spellStart"/>
      <w:r w:rsidRPr="0074527E">
        <w:rPr>
          <w:rFonts w:ascii="Arial" w:hAnsi="Arial" w:cs="Arial"/>
          <w:sz w:val="24"/>
          <w:szCs w:val="24"/>
        </w:rPr>
        <w:t>Micolich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J.</w:t>
      </w:r>
    </w:p>
    <w:p w:rsidR="004129F4" w:rsidRPr="0074527E" w:rsidRDefault="004129F4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b/>
          <w:sz w:val="24"/>
          <w:szCs w:val="24"/>
        </w:rPr>
        <w:t>Introducción</w:t>
      </w:r>
      <w:r w:rsidR="0074527E">
        <w:rPr>
          <w:rFonts w:ascii="Arial" w:hAnsi="Arial" w:cs="Arial"/>
          <w:b/>
          <w:sz w:val="24"/>
          <w:szCs w:val="24"/>
        </w:rPr>
        <w:t xml:space="preserve">: </w:t>
      </w:r>
      <w:r w:rsidRPr="0074527E">
        <w:rPr>
          <w:rFonts w:ascii="Arial" w:hAnsi="Arial" w:cs="Arial"/>
          <w:sz w:val="24"/>
          <w:szCs w:val="24"/>
        </w:rPr>
        <w:t xml:space="preserve">El Shock </w:t>
      </w:r>
      <w:proofErr w:type="spellStart"/>
      <w:r w:rsidRPr="0074527E">
        <w:rPr>
          <w:rFonts w:ascii="Arial" w:hAnsi="Arial" w:cs="Arial"/>
          <w:sz w:val="24"/>
          <w:szCs w:val="24"/>
        </w:rPr>
        <w:t>Cardiogénico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(SC) es un estado de </w:t>
      </w:r>
      <w:proofErr w:type="spellStart"/>
      <w:r w:rsidRPr="0074527E">
        <w:rPr>
          <w:rFonts w:ascii="Arial" w:hAnsi="Arial" w:cs="Arial"/>
          <w:sz w:val="24"/>
          <w:szCs w:val="24"/>
        </w:rPr>
        <w:t>hipoperfusión</w:t>
      </w:r>
      <w:proofErr w:type="spellEnd"/>
      <w:r w:rsidRPr="0074527E">
        <w:rPr>
          <w:rFonts w:ascii="Arial" w:hAnsi="Arial" w:cs="Arial"/>
          <w:sz w:val="24"/>
          <w:szCs w:val="24"/>
        </w:rPr>
        <w:t xml:space="preserve"> orgánica debido a una caída severa en el gasto cardiaco, cuya principal causa es </w:t>
      </w:r>
      <w:r w:rsidR="009D3DB6" w:rsidRPr="0074527E">
        <w:rPr>
          <w:rFonts w:ascii="Arial" w:hAnsi="Arial" w:cs="Arial"/>
          <w:sz w:val="24"/>
          <w:szCs w:val="24"/>
        </w:rPr>
        <w:t xml:space="preserve">el </w:t>
      </w:r>
      <w:r w:rsidRPr="0074527E">
        <w:rPr>
          <w:rFonts w:ascii="Arial" w:hAnsi="Arial" w:cs="Arial"/>
          <w:sz w:val="24"/>
          <w:szCs w:val="24"/>
        </w:rPr>
        <w:t xml:space="preserve">Infarto Miocárdico (IAM). La incidencia oscila  entre un 5% a 8% de los pacientes hospitalizados por IAM.  Con una mortalidad del </w:t>
      </w:r>
      <w:r w:rsidR="00826545" w:rsidRPr="0074527E">
        <w:rPr>
          <w:rFonts w:ascii="Arial" w:hAnsi="Arial" w:cs="Arial"/>
          <w:sz w:val="24"/>
          <w:szCs w:val="24"/>
        </w:rPr>
        <w:t xml:space="preserve"> 40%-50%.</w:t>
      </w:r>
    </w:p>
    <w:p w:rsidR="004129F4" w:rsidRPr="0074527E" w:rsidRDefault="004129F4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b/>
          <w:sz w:val="24"/>
          <w:szCs w:val="24"/>
        </w:rPr>
        <w:t>Objetivos</w:t>
      </w:r>
      <w:r w:rsidR="0074527E">
        <w:rPr>
          <w:rFonts w:ascii="Arial" w:hAnsi="Arial" w:cs="Arial"/>
          <w:b/>
          <w:sz w:val="24"/>
          <w:szCs w:val="24"/>
        </w:rPr>
        <w:t xml:space="preserve">: </w:t>
      </w:r>
      <w:r w:rsidR="00826545" w:rsidRPr="0074527E">
        <w:rPr>
          <w:rFonts w:ascii="Arial" w:hAnsi="Arial" w:cs="Arial"/>
          <w:sz w:val="24"/>
          <w:szCs w:val="24"/>
        </w:rPr>
        <w:t>Describir las características de</w:t>
      </w:r>
      <w:r w:rsidR="0069028B" w:rsidRPr="0074527E">
        <w:rPr>
          <w:rFonts w:ascii="Arial" w:hAnsi="Arial" w:cs="Arial"/>
          <w:sz w:val="24"/>
          <w:szCs w:val="24"/>
        </w:rPr>
        <w:t xml:space="preserve"> casos de </w:t>
      </w:r>
      <w:r w:rsidR="00826545" w:rsidRPr="0074527E">
        <w:rPr>
          <w:rFonts w:ascii="Arial" w:hAnsi="Arial" w:cs="Arial"/>
          <w:sz w:val="24"/>
          <w:szCs w:val="24"/>
        </w:rPr>
        <w:t>SC</w:t>
      </w:r>
      <w:r w:rsidR="0069028B" w:rsidRPr="0074527E">
        <w:rPr>
          <w:rFonts w:ascii="Arial" w:hAnsi="Arial" w:cs="Arial"/>
          <w:sz w:val="24"/>
          <w:szCs w:val="24"/>
        </w:rPr>
        <w:t xml:space="preserve"> con estudio hemodinámico entre Junio 2006 – Junio 2018.</w:t>
      </w:r>
    </w:p>
    <w:p w:rsidR="004129F4" w:rsidRPr="0074527E" w:rsidRDefault="0074527E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Materiales y métodos: </w:t>
      </w:r>
      <w:r w:rsidR="00826545" w:rsidRPr="0074527E">
        <w:rPr>
          <w:rFonts w:ascii="Arial" w:hAnsi="Arial" w:cs="Arial"/>
          <w:sz w:val="24"/>
          <w:szCs w:val="24"/>
        </w:rPr>
        <w:t>Análisis</w:t>
      </w:r>
      <w:r w:rsidR="0069028B" w:rsidRPr="0074527E">
        <w:rPr>
          <w:rFonts w:ascii="Arial" w:hAnsi="Arial" w:cs="Arial"/>
          <w:sz w:val="24"/>
          <w:szCs w:val="24"/>
        </w:rPr>
        <w:t xml:space="preserve"> retrospectivo de los pacientes que ingresaron </w:t>
      </w:r>
      <w:r w:rsidR="00826545" w:rsidRPr="0074527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26545" w:rsidRPr="0074527E">
        <w:rPr>
          <w:rFonts w:ascii="Arial" w:hAnsi="Arial" w:cs="Arial"/>
          <w:sz w:val="24"/>
          <w:szCs w:val="24"/>
        </w:rPr>
        <w:t>H</w:t>
      </w:r>
      <w:r w:rsidR="0069028B" w:rsidRPr="0074527E">
        <w:rPr>
          <w:rFonts w:ascii="Arial" w:hAnsi="Arial" w:cs="Arial"/>
          <w:sz w:val="24"/>
          <w:szCs w:val="24"/>
        </w:rPr>
        <w:t>emodinamia</w:t>
      </w:r>
      <w:proofErr w:type="spellEnd"/>
      <w:r w:rsidR="0069028B" w:rsidRPr="0074527E">
        <w:rPr>
          <w:rFonts w:ascii="Arial" w:hAnsi="Arial" w:cs="Arial"/>
          <w:sz w:val="24"/>
          <w:szCs w:val="24"/>
        </w:rPr>
        <w:t xml:space="preserve"> con diagnóstico de </w:t>
      </w:r>
      <w:r w:rsidR="00826545" w:rsidRPr="0074527E">
        <w:rPr>
          <w:rFonts w:ascii="Arial" w:hAnsi="Arial" w:cs="Arial"/>
          <w:sz w:val="24"/>
          <w:szCs w:val="24"/>
        </w:rPr>
        <w:t xml:space="preserve">SC entre Junio 2006- Junio </w:t>
      </w:r>
      <w:r w:rsidR="0069028B" w:rsidRPr="0074527E">
        <w:rPr>
          <w:rFonts w:ascii="Arial" w:hAnsi="Arial" w:cs="Arial"/>
          <w:sz w:val="24"/>
          <w:szCs w:val="24"/>
        </w:rPr>
        <w:t xml:space="preserve">2018. Revisamos fichas clínicas, protocolos operatorios y certificamos la mortalidad con el Registro Civil e Identificación de Chile. El análisis estadístico de los datos se realizó utilizando el software SPSS </w:t>
      </w:r>
      <w:proofErr w:type="spellStart"/>
      <w:r w:rsidR="0069028B" w:rsidRPr="0074527E">
        <w:rPr>
          <w:rFonts w:ascii="Arial" w:hAnsi="Arial" w:cs="Arial"/>
          <w:sz w:val="24"/>
          <w:szCs w:val="24"/>
        </w:rPr>
        <w:t>Statistics</w:t>
      </w:r>
      <w:proofErr w:type="spellEnd"/>
      <w:r w:rsidR="0069028B" w:rsidRPr="0074527E">
        <w:rPr>
          <w:rFonts w:ascii="Arial" w:hAnsi="Arial" w:cs="Arial"/>
          <w:sz w:val="24"/>
          <w:szCs w:val="24"/>
        </w:rPr>
        <w:t xml:space="preserve"> v23</w:t>
      </w:r>
    </w:p>
    <w:p w:rsidR="0069028B" w:rsidRPr="0074527E" w:rsidRDefault="004129F4" w:rsidP="007452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527E">
        <w:rPr>
          <w:rFonts w:ascii="Arial" w:hAnsi="Arial" w:cs="Arial"/>
          <w:b/>
          <w:sz w:val="24"/>
          <w:szCs w:val="24"/>
        </w:rPr>
        <w:t>Resultados</w:t>
      </w:r>
      <w:r w:rsidR="0074527E">
        <w:rPr>
          <w:rFonts w:ascii="Arial" w:hAnsi="Arial" w:cs="Arial"/>
          <w:b/>
          <w:sz w:val="24"/>
          <w:szCs w:val="24"/>
        </w:rPr>
        <w:t xml:space="preserve">: </w:t>
      </w:r>
      <w:r w:rsidR="0069028B" w:rsidRPr="0074527E">
        <w:rPr>
          <w:rFonts w:ascii="Arial" w:hAnsi="Arial" w:cs="Arial"/>
          <w:sz w:val="24"/>
          <w:szCs w:val="24"/>
        </w:rPr>
        <w:t>U</w:t>
      </w:r>
      <w:r w:rsidR="00826545" w:rsidRPr="0074527E">
        <w:rPr>
          <w:rFonts w:ascii="Arial" w:hAnsi="Arial" w:cs="Arial"/>
          <w:sz w:val="24"/>
          <w:szCs w:val="24"/>
        </w:rPr>
        <w:t>n total de 212 pacientes fueron seleccionados</w:t>
      </w:r>
      <w:r w:rsidR="0069028B" w:rsidRPr="0074527E">
        <w:rPr>
          <w:rFonts w:ascii="Arial" w:hAnsi="Arial" w:cs="Arial"/>
          <w:sz w:val="24"/>
          <w:szCs w:val="24"/>
        </w:rPr>
        <w:t xml:space="preserve">, se excluyeron </w:t>
      </w:r>
      <w:r w:rsidR="005144DD" w:rsidRPr="0074527E">
        <w:rPr>
          <w:rFonts w:ascii="Arial" w:hAnsi="Arial" w:cs="Arial"/>
          <w:sz w:val="24"/>
          <w:szCs w:val="24"/>
        </w:rPr>
        <w:t>35 pacientes cuya</w:t>
      </w:r>
      <w:r w:rsidR="0069028B" w:rsidRPr="0074527E">
        <w:rPr>
          <w:rFonts w:ascii="Arial" w:hAnsi="Arial" w:cs="Arial"/>
          <w:sz w:val="24"/>
          <w:szCs w:val="24"/>
        </w:rPr>
        <w:t xml:space="preserve"> etiología del shock </w:t>
      </w:r>
      <w:r w:rsidR="005144DD" w:rsidRPr="0074527E">
        <w:rPr>
          <w:rFonts w:ascii="Arial" w:hAnsi="Arial" w:cs="Arial"/>
          <w:sz w:val="24"/>
          <w:szCs w:val="24"/>
        </w:rPr>
        <w:t>no era IAM, finalmente</w:t>
      </w:r>
      <w:r w:rsidR="0069028B" w:rsidRPr="0074527E">
        <w:rPr>
          <w:rFonts w:ascii="Arial" w:hAnsi="Arial" w:cs="Arial"/>
          <w:sz w:val="24"/>
          <w:szCs w:val="24"/>
        </w:rPr>
        <w:t xml:space="preserve"> 177 pacientes fueron analizados. </w:t>
      </w:r>
      <w:r w:rsidR="005144DD" w:rsidRPr="0074527E">
        <w:rPr>
          <w:rFonts w:ascii="Arial" w:hAnsi="Arial" w:cs="Arial"/>
          <w:sz w:val="24"/>
          <w:szCs w:val="24"/>
        </w:rPr>
        <w:t>El</w:t>
      </w:r>
      <w:r w:rsidR="0069028B" w:rsidRPr="0074527E">
        <w:rPr>
          <w:rFonts w:ascii="Arial" w:hAnsi="Arial" w:cs="Arial"/>
          <w:sz w:val="24"/>
          <w:szCs w:val="24"/>
        </w:rPr>
        <w:t xml:space="preserve"> 57% </w:t>
      </w:r>
      <w:r w:rsidR="005144DD" w:rsidRPr="0074527E">
        <w:rPr>
          <w:rFonts w:ascii="Arial" w:hAnsi="Arial" w:cs="Arial"/>
          <w:sz w:val="24"/>
          <w:szCs w:val="24"/>
        </w:rPr>
        <w:t xml:space="preserve"> fueron hombres con edad promedio de 64,75 años</w:t>
      </w:r>
      <w:r w:rsidR="0069028B" w:rsidRPr="0074527E">
        <w:rPr>
          <w:rFonts w:ascii="Arial" w:hAnsi="Arial" w:cs="Arial"/>
          <w:sz w:val="24"/>
          <w:szCs w:val="24"/>
        </w:rPr>
        <w:t xml:space="preserve">. </w:t>
      </w:r>
      <w:r w:rsidR="005144DD" w:rsidRPr="0074527E">
        <w:rPr>
          <w:rFonts w:ascii="Arial" w:hAnsi="Arial" w:cs="Arial"/>
          <w:sz w:val="24"/>
          <w:szCs w:val="24"/>
        </w:rPr>
        <w:t xml:space="preserve">Los principales factores de riesgo </w:t>
      </w:r>
      <w:r w:rsidR="0069028B" w:rsidRPr="0074527E">
        <w:rPr>
          <w:rFonts w:ascii="Arial" w:hAnsi="Arial" w:cs="Arial"/>
          <w:sz w:val="24"/>
          <w:szCs w:val="24"/>
        </w:rPr>
        <w:t xml:space="preserve"> m</w:t>
      </w:r>
      <w:r w:rsidR="005144DD" w:rsidRPr="0074527E">
        <w:rPr>
          <w:rFonts w:ascii="Arial" w:hAnsi="Arial" w:cs="Arial"/>
          <w:sz w:val="24"/>
          <w:szCs w:val="24"/>
        </w:rPr>
        <w:t>o</w:t>
      </w:r>
      <w:r w:rsidR="0069028B" w:rsidRPr="0074527E">
        <w:rPr>
          <w:rFonts w:ascii="Arial" w:hAnsi="Arial" w:cs="Arial"/>
          <w:sz w:val="24"/>
          <w:szCs w:val="24"/>
        </w:rPr>
        <w:t xml:space="preserve">dificables </w:t>
      </w:r>
      <w:r w:rsidR="005144DD" w:rsidRPr="0074527E">
        <w:rPr>
          <w:rFonts w:ascii="Arial" w:hAnsi="Arial" w:cs="Arial"/>
          <w:sz w:val="24"/>
          <w:szCs w:val="24"/>
        </w:rPr>
        <w:t xml:space="preserve">fueron la HTA y DM2, </w:t>
      </w:r>
      <w:r w:rsidR="009D3DB6" w:rsidRPr="0074527E">
        <w:rPr>
          <w:rFonts w:ascii="Arial" w:hAnsi="Arial" w:cs="Arial"/>
          <w:sz w:val="24"/>
          <w:szCs w:val="24"/>
        </w:rPr>
        <w:t>más</w:t>
      </w:r>
      <w:r w:rsidR="0069028B" w:rsidRPr="0074527E">
        <w:rPr>
          <w:rFonts w:ascii="Arial" w:hAnsi="Arial" w:cs="Arial"/>
          <w:sz w:val="24"/>
          <w:szCs w:val="24"/>
        </w:rPr>
        <w:t xml:space="preserve"> de la mitad tenía</w:t>
      </w:r>
      <w:r w:rsidR="005144DD" w:rsidRPr="0074527E">
        <w:rPr>
          <w:rFonts w:ascii="Arial" w:hAnsi="Arial" w:cs="Arial"/>
          <w:sz w:val="24"/>
          <w:szCs w:val="24"/>
        </w:rPr>
        <w:t>n</w:t>
      </w:r>
      <w:r w:rsidR="0069028B" w:rsidRPr="0074527E">
        <w:rPr>
          <w:rFonts w:ascii="Arial" w:hAnsi="Arial" w:cs="Arial"/>
          <w:sz w:val="24"/>
          <w:szCs w:val="24"/>
        </w:rPr>
        <w:t xml:space="preserve"> sobrepeso, el tabaquismo activo </w:t>
      </w:r>
      <w:r w:rsidR="005144DD" w:rsidRPr="0074527E">
        <w:rPr>
          <w:rFonts w:ascii="Arial" w:hAnsi="Arial" w:cs="Arial"/>
          <w:sz w:val="24"/>
          <w:szCs w:val="24"/>
        </w:rPr>
        <w:t>se presentó en un</w:t>
      </w:r>
      <w:r w:rsidR="0069028B" w:rsidRPr="0074527E">
        <w:rPr>
          <w:rFonts w:ascii="Arial" w:hAnsi="Arial" w:cs="Arial"/>
          <w:sz w:val="24"/>
          <w:szCs w:val="24"/>
        </w:rPr>
        <w:t xml:space="preserve"> 29% y el uso de </w:t>
      </w:r>
      <w:proofErr w:type="spellStart"/>
      <w:r w:rsidR="0069028B" w:rsidRPr="0074527E">
        <w:rPr>
          <w:rFonts w:ascii="Arial" w:hAnsi="Arial" w:cs="Arial"/>
          <w:sz w:val="24"/>
          <w:szCs w:val="24"/>
        </w:rPr>
        <w:t>cocaina</w:t>
      </w:r>
      <w:proofErr w:type="spellEnd"/>
      <w:r w:rsidR="0069028B" w:rsidRPr="0074527E">
        <w:rPr>
          <w:rFonts w:ascii="Arial" w:hAnsi="Arial" w:cs="Arial"/>
          <w:sz w:val="24"/>
          <w:szCs w:val="24"/>
        </w:rPr>
        <w:t xml:space="preserve"> como factor asociado al Infarto </w:t>
      </w:r>
      <w:r w:rsidR="0074527E" w:rsidRPr="0074527E">
        <w:rPr>
          <w:rFonts w:ascii="Arial" w:hAnsi="Arial" w:cs="Arial"/>
          <w:sz w:val="24"/>
          <w:szCs w:val="24"/>
        </w:rPr>
        <w:t>miocárdico</w:t>
      </w:r>
      <w:r w:rsidR="0069028B" w:rsidRPr="0074527E">
        <w:rPr>
          <w:rFonts w:ascii="Arial" w:hAnsi="Arial" w:cs="Arial"/>
          <w:sz w:val="24"/>
          <w:szCs w:val="24"/>
        </w:rPr>
        <w:t xml:space="preserve"> en un 3,38%.</w:t>
      </w:r>
    </w:p>
    <w:p w:rsidR="0069028B" w:rsidRPr="0074527E" w:rsidRDefault="005144DD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sz w:val="24"/>
          <w:szCs w:val="24"/>
        </w:rPr>
        <w:t>En relación a las lesiones coronarias</w:t>
      </w:r>
      <w:r w:rsidR="0069028B" w:rsidRPr="0074527E">
        <w:rPr>
          <w:rFonts w:ascii="Arial" w:hAnsi="Arial" w:cs="Arial"/>
          <w:sz w:val="24"/>
          <w:szCs w:val="24"/>
        </w:rPr>
        <w:t xml:space="preserve">, 36% correspondió a enfermedad de 1 vaso siendo la ADA y ACD </w:t>
      </w:r>
      <w:r w:rsidRPr="0074527E">
        <w:rPr>
          <w:rFonts w:ascii="Arial" w:hAnsi="Arial" w:cs="Arial"/>
          <w:sz w:val="24"/>
          <w:szCs w:val="24"/>
        </w:rPr>
        <w:t>principalmente</w:t>
      </w:r>
      <w:r w:rsidR="0069028B" w:rsidRPr="0074527E">
        <w:rPr>
          <w:rFonts w:ascii="Arial" w:hAnsi="Arial" w:cs="Arial"/>
          <w:sz w:val="24"/>
          <w:szCs w:val="24"/>
        </w:rPr>
        <w:t xml:space="preserve">, enfermedad de 3 vasos en un 22% de los casos y lesión </w:t>
      </w:r>
      <w:r w:rsidR="0074527E" w:rsidRPr="0074527E">
        <w:rPr>
          <w:rFonts w:ascii="Arial" w:hAnsi="Arial" w:cs="Arial"/>
          <w:sz w:val="24"/>
          <w:szCs w:val="24"/>
        </w:rPr>
        <w:t>única</w:t>
      </w:r>
      <w:r w:rsidR="0069028B" w:rsidRPr="0074527E">
        <w:rPr>
          <w:rFonts w:ascii="Arial" w:hAnsi="Arial" w:cs="Arial"/>
          <w:sz w:val="24"/>
          <w:szCs w:val="24"/>
        </w:rPr>
        <w:t xml:space="preserve"> de TCI en el 3,68%. </w:t>
      </w:r>
    </w:p>
    <w:p w:rsidR="004129F4" w:rsidRPr="0074527E" w:rsidRDefault="009D3DB6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sz w:val="24"/>
          <w:szCs w:val="24"/>
        </w:rPr>
        <w:t>En</w:t>
      </w:r>
      <w:r w:rsidR="0069028B" w:rsidRPr="0074527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9028B" w:rsidRPr="0074527E">
        <w:rPr>
          <w:rFonts w:ascii="Arial" w:hAnsi="Arial" w:cs="Arial"/>
          <w:sz w:val="24"/>
          <w:szCs w:val="24"/>
        </w:rPr>
        <w:t>Angioplastía</w:t>
      </w:r>
      <w:proofErr w:type="spellEnd"/>
      <w:r w:rsidR="0069028B" w:rsidRPr="0074527E">
        <w:rPr>
          <w:rFonts w:ascii="Arial" w:hAnsi="Arial" w:cs="Arial"/>
          <w:sz w:val="24"/>
          <w:szCs w:val="24"/>
        </w:rPr>
        <w:t xml:space="preserve"> primaria, se utilizaron un total de </w:t>
      </w:r>
      <w:r w:rsidRPr="0074527E">
        <w:rPr>
          <w:rFonts w:ascii="Arial" w:hAnsi="Arial" w:cs="Arial"/>
          <w:sz w:val="24"/>
          <w:szCs w:val="24"/>
        </w:rPr>
        <w:t>226 stent siendo convencionales( 61%)</w:t>
      </w:r>
      <w:r w:rsidR="0069028B" w:rsidRPr="0074527E">
        <w:rPr>
          <w:rFonts w:ascii="Arial" w:hAnsi="Arial" w:cs="Arial"/>
          <w:sz w:val="24"/>
          <w:szCs w:val="24"/>
        </w:rPr>
        <w:t>. Se utilizó BCIA en el 23% de los casos. La mortalidad global fue de un 69% en el seguimiento a largo plazo siendo la patología cardiovascular la principal causa de muerte.</w:t>
      </w:r>
    </w:p>
    <w:p w:rsidR="0069028B" w:rsidRPr="0074527E" w:rsidRDefault="004129F4" w:rsidP="007452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27E">
        <w:rPr>
          <w:rFonts w:ascii="Arial" w:hAnsi="Arial" w:cs="Arial"/>
          <w:b/>
          <w:sz w:val="24"/>
          <w:szCs w:val="24"/>
        </w:rPr>
        <w:t>Conclusiones</w:t>
      </w:r>
      <w:r w:rsidR="0074527E">
        <w:rPr>
          <w:rFonts w:ascii="Arial" w:hAnsi="Arial" w:cs="Arial"/>
          <w:b/>
          <w:sz w:val="24"/>
          <w:szCs w:val="24"/>
        </w:rPr>
        <w:t xml:space="preserve">: </w:t>
      </w:r>
      <w:r w:rsidR="0069028B" w:rsidRPr="0074527E">
        <w:rPr>
          <w:rFonts w:ascii="Arial" w:hAnsi="Arial" w:cs="Arial"/>
          <w:sz w:val="24"/>
          <w:szCs w:val="24"/>
        </w:rPr>
        <w:t xml:space="preserve">El </w:t>
      </w:r>
      <w:r w:rsidR="009D3DB6" w:rsidRPr="0074527E">
        <w:rPr>
          <w:rFonts w:ascii="Arial" w:hAnsi="Arial" w:cs="Arial"/>
          <w:sz w:val="24"/>
          <w:szCs w:val="24"/>
        </w:rPr>
        <w:t>SC</w:t>
      </w:r>
      <w:r w:rsidR="0069028B" w:rsidRPr="0074527E">
        <w:rPr>
          <w:rFonts w:ascii="Arial" w:hAnsi="Arial" w:cs="Arial"/>
          <w:sz w:val="24"/>
          <w:szCs w:val="24"/>
        </w:rPr>
        <w:t xml:space="preserve"> es</w:t>
      </w:r>
      <w:r w:rsidR="009D3DB6" w:rsidRPr="0074527E">
        <w:rPr>
          <w:rFonts w:ascii="Arial" w:hAnsi="Arial" w:cs="Arial"/>
          <w:sz w:val="24"/>
          <w:szCs w:val="24"/>
        </w:rPr>
        <w:t xml:space="preserve"> una entidad de alta mortalidad</w:t>
      </w:r>
      <w:r w:rsidR="0069028B" w:rsidRPr="0074527E">
        <w:rPr>
          <w:rFonts w:ascii="Arial" w:hAnsi="Arial" w:cs="Arial"/>
          <w:sz w:val="24"/>
          <w:szCs w:val="24"/>
        </w:rPr>
        <w:t xml:space="preserve">, </w:t>
      </w:r>
      <w:r w:rsidR="009D3DB6" w:rsidRPr="0074527E">
        <w:rPr>
          <w:rFonts w:ascii="Arial" w:hAnsi="Arial" w:cs="Arial"/>
          <w:sz w:val="24"/>
          <w:szCs w:val="24"/>
        </w:rPr>
        <w:t>siendo mayor en nuestra serie</w:t>
      </w:r>
      <w:r w:rsidR="0069028B" w:rsidRPr="0074527E">
        <w:rPr>
          <w:rFonts w:ascii="Arial" w:hAnsi="Arial" w:cs="Arial"/>
          <w:sz w:val="24"/>
          <w:szCs w:val="24"/>
        </w:rPr>
        <w:t xml:space="preserve"> probablemente debido a la inclusión de pacientes que cursan desfavorablemente en el procedimiento hemodinámico. </w:t>
      </w:r>
      <w:r w:rsidR="009D3DB6" w:rsidRPr="0074527E">
        <w:rPr>
          <w:rFonts w:ascii="Arial" w:hAnsi="Arial" w:cs="Arial"/>
          <w:sz w:val="24"/>
          <w:szCs w:val="24"/>
        </w:rPr>
        <w:t>Los</w:t>
      </w:r>
      <w:r w:rsidR="0069028B" w:rsidRPr="0074527E">
        <w:rPr>
          <w:rFonts w:ascii="Arial" w:hAnsi="Arial" w:cs="Arial"/>
          <w:sz w:val="24"/>
          <w:szCs w:val="24"/>
        </w:rPr>
        <w:t xml:space="preserve"> factores de riesgo nuestros </w:t>
      </w:r>
      <w:r w:rsidR="009D3DB6" w:rsidRPr="0074527E">
        <w:rPr>
          <w:rFonts w:ascii="Arial" w:hAnsi="Arial" w:cs="Arial"/>
          <w:sz w:val="24"/>
          <w:szCs w:val="24"/>
        </w:rPr>
        <w:t>pacientes</w:t>
      </w:r>
      <w:r w:rsidR="0069028B" w:rsidRPr="0074527E">
        <w:rPr>
          <w:rFonts w:ascii="Arial" w:hAnsi="Arial" w:cs="Arial"/>
          <w:sz w:val="24"/>
          <w:szCs w:val="24"/>
        </w:rPr>
        <w:t xml:space="preserve"> son similares a lo reportado en la literatura </w:t>
      </w:r>
      <w:proofErr w:type="spellStart"/>
      <w:r w:rsidR="009D3DB6" w:rsidRPr="0074527E">
        <w:rPr>
          <w:rFonts w:ascii="Arial" w:hAnsi="Arial" w:cs="Arial"/>
          <w:sz w:val="24"/>
          <w:szCs w:val="24"/>
        </w:rPr>
        <w:t>asi</w:t>
      </w:r>
      <w:proofErr w:type="spellEnd"/>
      <w:r w:rsidR="009D3DB6" w:rsidRPr="0074527E">
        <w:rPr>
          <w:rFonts w:ascii="Arial" w:hAnsi="Arial" w:cs="Arial"/>
          <w:sz w:val="24"/>
          <w:szCs w:val="24"/>
        </w:rPr>
        <w:t xml:space="preserve"> como las</w:t>
      </w:r>
      <w:r w:rsidR="0069028B" w:rsidRPr="0074527E">
        <w:rPr>
          <w:rFonts w:ascii="Arial" w:hAnsi="Arial" w:cs="Arial"/>
          <w:sz w:val="24"/>
          <w:szCs w:val="24"/>
        </w:rPr>
        <w:t xml:space="preserve"> lesiones coronarias encontradas. </w:t>
      </w:r>
      <w:r w:rsidR="009D3DB6" w:rsidRPr="0074527E">
        <w:rPr>
          <w:rFonts w:ascii="Arial" w:hAnsi="Arial" w:cs="Arial"/>
          <w:sz w:val="24"/>
          <w:szCs w:val="24"/>
        </w:rPr>
        <w:t xml:space="preserve">Con el uso del BCIA se </w:t>
      </w:r>
      <w:r w:rsidR="00D2131A" w:rsidRPr="0074527E">
        <w:rPr>
          <w:rFonts w:ascii="Arial" w:hAnsi="Arial" w:cs="Arial"/>
          <w:sz w:val="24"/>
          <w:szCs w:val="24"/>
        </w:rPr>
        <w:t>observó</w:t>
      </w:r>
      <w:r w:rsidR="0069028B" w:rsidRPr="0074527E">
        <w:rPr>
          <w:rFonts w:ascii="Arial" w:hAnsi="Arial" w:cs="Arial"/>
          <w:sz w:val="24"/>
          <w:szCs w:val="24"/>
        </w:rPr>
        <w:t xml:space="preserve"> un aumento de la mortalidad </w:t>
      </w:r>
      <w:r w:rsidR="0074527E" w:rsidRPr="0074527E">
        <w:rPr>
          <w:rFonts w:ascii="Arial" w:hAnsi="Arial" w:cs="Arial"/>
          <w:sz w:val="24"/>
          <w:szCs w:val="24"/>
        </w:rPr>
        <w:t>estadísticamente</w:t>
      </w:r>
      <w:r w:rsidR="0069028B" w:rsidRPr="0074527E">
        <w:rPr>
          <w:rFonts w:ascii="Arial" w:hAnsi="Arial" w:cs="Arial"/>
          <w:sz w:val="24"/>
          <w:szCs w:val="24"/>
        </w:rPr>
        <w:t xml:space="preserve"> no significativa.</w:t>
      </w:r>
    </w:p>
    <w:p w:rsidR="0069028B" w:rsidRPr="0074527E" w:rsidRDefault="0069028B" w:rsidP="0074527E">
      <w:pPr>
        <w:jc w:val="both"/>
        <w:rPr>
          <w:rFonts w:ascii="Arial" w:hAnsi="Arial" w:cs="Arial"/>
          <w:b/>
          <w:sz w:val="24"/>
          <w:szCs w:val="24"/>
        </w:rPr>
      </w:pPr>
    </w:p>
    <w:sectPr w:rsidR="0069028B" w:rsidRPr="0074527E" w:rsidSect="00073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D61"/>
    <w:rsid w:val="00073D00"/>
    <w:rsid w:val="002413A2"/>
    <w:rsid w:val="004129F4"/>
    <w:rsid w:val="005144DD"/>
    <w:rsid w:val="0069028B"/>
    <w:rsid w:val="0074527E"/>
    <w:rsid w:val="00826545"/>
    <w:rsid w:val="009D3DB6"/>
    <w:rsid w:val="00A751E1"/>
    <w:rsid w:val="00D2131A"/>
    <w:rsid w:val="00E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2019-04-24T01:59:00Z</dcterms:created>
  <dcterms:modified xsi:type="dcterms:W3CDTF">2019-05-02T13:11:00Z</dcterms:modified>
</cp:coreProperties>
</file>